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41B0264" w:rsidR="00537809" w:rsidRPr="0046371B" w:rsidRDefault="00537809" w:rsidP="00537809">
      <w:pPr>
        <w:pStyle w:val="Header"/>
        <w:tabs>
          <w:tab w:val="right" w:pos="9639"/>
        </w:tabs>
        <w:rPr>
          <w:bCs/>
          <w:i/>
          <w:noProof w:val="0"/>
          <w:sz w:val="24"/>
          <w:szCs w:val="24"/>
          <w:lang w:val="en-DK"/>
        </w:rPr>
      </w:pPr>
      <w:r w:rsidRPr="003A41EF">
        <w:rPr>
          <w:bCs/>
          <w:noProof w:val="0"/>
          <w:sz w:val="24"/>
          <w:szCs w:val="24"/>
        </w:rPr>
        <w:t xml:space="preserve">3GPP TSG-RAN WG2 Meeting </w:t>
      </w:r>
      <w:r>
        <w:rPr>
          <w:bCs/>
          <w:noProof w:val="0"/>
          <w:sz w:val="24"/>
          <w:szCs w:val="24"/>
        </w:rPr>
        <w:t>#12</w:t>
      </w:r>
      <w:r w:rsidR="0018542A">
        <w:rPr>
          <w:bCs/>
          <w:noProof w:val="0"/>
          <w:sz w:val="24"/>
          <w:szCs w:val="24"/>
        </w:rPr>
        <w:t>3</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46371B">
        <w:rPr>
          <w:bCs/>
          <w:noProof w:val="0"/>
          <w:sz w:val="24"/>
          <w:szCs w:val="24"/>
          <w:lang w:val="en-DK"/>
        </w:rPr>
        <w:t>8516</w:t>
      </w:r>
    </w:p>
    <w:p w14:paraId="11776FA6" w14:textId="6E3480A5" w:rsidR="00A209D6" w:rsidRPr="00465587" w:rsidRDefault="0018542A" w:rsidP="00A209D6">
      <w:pPr>
        <w:pStyle w:val="Header"/>
        <w:tabs>
          <w:tab w:val="right" w:pos="9639"/>
        </w:tabs>
        <w:rPr>
          <w:rFonts w:eastAsia="SimSun"/>
          <w:bCs/>
          <w:sz w:val="24"/>
          <w:szCs w:val="24"/>
          <w:lang w:eastAsia="zh-CN"/>
        </w:rPr>
      </w:pPr>
      <w:r>
        <w:rPr>
          <w:rFonts w:eastAsia="SimSun"/>
          <w:bCs/>
          <w:sz w:val="24"/>
          <w:szCs w:val="24"/>
          <w:lang w:eastAsia="zh-CN"/>
        </w:rPr>
        <w:t>Toulouse</w:t>
      </w:r>
      <w:r w:rsidR="00537809" w:rsidRPr="002240E0">
        <w:rPr>
          <w:rFonts w:eastAsia="SimSun"/>
          <w:bCs/>
          <w:sz w:val="24"/>
          <w:szCs w:val="24"/>
          <w:lang w:eastAsia="zh-CN"/>
        </w:rPr>
        <w:t xml:space="preserve">, </w:t>
      </w:r>
      <w:r>
        <w:rPr>
          <w:rFonts w:eastAsia="SimSun"/>
          <w:bCs/>
          <w:sz w:val="24"/>
          <w:szCs w:val="24"/>
          <w:lang w:eastAsia="zh-CN"/>
        </w:rPr>
        <w:t>France</w:t>
      </w:r>
      <w:r w:rsidR="00537809" w:rsidRPr="002240E0">
        <w:rPr>
          <w:rFonts w:eastAsia="SimSun"/>
          <w:bCs/>
          <w:sz w:val="24"/>
          <w:szCs w:val="24"/>
          <w:lang w:eastAsia="zh-CN"/>
        </w:rPr>
        <w:t>, 2</w:t>
      </w:r>
      <w:r>
        <w:rPr>
          <w:rFonts w:eastAsia="SimSun"/>
          <w:bCs/>
          <w:sz w:val="24"/>
          <w:szCs w:val="24"/>
          <w:lang w:eastAsia="zh-CN"/>
        </w:rPr>
        <w:t xml:space="preserve">1 </w:t>
      </w:r>
      <w:r w:rsidR="00537809" w:rsidRPr="002240E0">
        <w:rPr>
          <w:rFonts w:eastAsia="SimSun"/>
          <w:bCs/>
          <w:sz w:val="24"/>
          <w:szCs w:val="24"/>
          <w:lang w:eastAsia="zh-CN"/>
        </w:rPr>
        <w:t>– 2</w:t>
      </w:r>
      <w:r>
        <w:rPr>
          <w:rFonts w:eastAsia="SimSun"/>
          <w:bCs/>
          <w:sz w:val="24"/>
          <w:szCs w:val="24"/>
          <w:lang w:eastAsia="zh-CN"/>
        </w:rPr>
        <w:t>5</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341D234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82F0B">
        <w:rPr>
          <w:rFonts w:cs="Arial"/>
          <w:b/>
          <w:bCs/>
          <w:sz w:val="24"/>
          <w:lang w:eastAsia="ja-JP"/>
        </w:rPr>
        <w:t>7</w:t>
      </w:r>
      <w:r>
        <w:rPr>
          <w:rFonts w:cs="Arial"/>
          <w:b/>
          <w:bCs/>
          <w:sz w:val="24"/>
          <w:lang w:eastAsia="ja-JP"/>
        </w:rPr>
        <w:t>.</w:t>
      </w:r>
      <w:r w:rsidR="00482F0B">
        <w:rPr>
          <w:rFonts w:cs="Arial"/>
          <w:b/>
          <w:bCs/>
          <w:sz w:val="24"/>
          <w:lang w:eastAsia="ja-JP"/>
        </w:rPr>
        <w:t>15</w:t>
      </w:r>
      <w:r>
        <w:rPr>
          <w:rFonts w:cs="Arial"/>
          <w:b/>
          <w:bCs/>
          <w:sz w:val="24"/>
          <w:lang w:eastAsia="ja-JP"/>
        </w:rPr>
        <w:t>.</w:t>
      </w:r>
      <w:r w:rsidR="00482F0B">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773FE77"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85EC3">
        <w:rPr>
          <w:rFonts w:ascii="Arial" w:hAnsi="Arial" w:cs="Arial"/>
          <w:b/>
          <w:bCs/>
          <w:sz w:val="24"/>
        </w:rPr>
        <w:t xml:space="preserve">Open issues on resource </w:t>
      </w:r>
      <w:r w:rsidR="00DA7FAA">
        <w:rPr>
          <w:rFonts w:ascii="Arial" w:hAnsi="Arial" w:cs="Arial"/>
          <w:b/>
          <w:bCs/>
          <w:sz w:val="24"/>
        </w:rPr>
        <w:t>(re)</w:t>
      </w:r>
      <w:r w:rsidR="00085EC3">
        <w:rPr>
          <w:rFonts w:ascii="Arial" w:hAnsi="Arial" w:cs="Arial"/>
          <w:b/>
          <w:bCs/>
          <w:sz w:val="24"/>
        </w:rPr>
        <w:t xml:space="preserve">selection </w:t>
      </w:r>
      <w:r w:rsidR="00482F0B">
        <w:rPr>
          <w:rFonts w:ascii="Arial" w:hAnsi="Arial" w:cs="Arial"/>
          <w:b/>
          <w:bCs/>
          <w:sz w:val="24"/>
        </w:rPr>
        <w:t>and LCP restrictions</w:t>
      </w:r>
    </w:p>
    <w:p w14:paraId="25F387E8" w14:textId="2C4BB166"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71C56" w:rsidRPr="00F71C56">
        <w:rPr>
          <w:rFonts w:ascii="Arial" w:hAnsi="Arial" w:cs="Arial"/>
          <w:b/>
          <w:bCs/>
          <w:sz w:val="24"/>
        </w:rPr>
        <w:t>NR_SL_enh2 -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48B6A5B9" w:rsidR="009339CB" w:rsidRPr="00365E20" w:rsidRDefault="00E8712C" w:rsidP="009339CB">
      <w:r>
        <w:t xml:space="preserve">In </w:t>
      </w:r>
      <w:hyperlink r:id="rId12" w:history="1">
        <w:r w:rsidRPr="006D100F">
          <w:rPr>
            <w:rStyle w:val="Hyperlink"/>
          </w:rPr>
          <w:t>RAN2#12</w:t>
        </w:r>
        <w:r w:rsidR="007F7651" w:rsidRPr="006D100F">
          <w:rPr>
            <w:rStyle w:val="Hyperlink"/>
          </w:rPr>
          <w:t>1</w:t>
        </w:r>
      </w:hyperlink>
      <w:r w:rsidR="007F7651">
        <w:t xml:space="preserve"> it was agreed that RAN2 would at least </w:t>
      </w:r>
      <w:r w:rsidR="00916410">
        <w:t xml:space="preserve">handle the case </w:t>
      </w:r>
      <w:r w:rsidR="00916410" w:rsidRPr="000E6935">
        <w:rPr>
          <w:rFonts w:cs="Arial"/>
        </w:rPr>
        <w:t>how MAC performs resource (re)selection with the consideration of LBT impact to its own candidate resource (intra-UE case).</w:t>
      </w:r>
    </w:p>
    <w:p w14:paraId="39051FAE" w14:textId="77777777" w:rsidR="007F7651" w:rsidRPr="005F1AFD" w:rsidRDefault="007F7651" w:rsidP="007F7651">
      <w:pPr>
        <w:pBdr>
          <w:top w:val="single" w:sz="4" w:space="1" w:color="auto"/>
          <w:left w:val="single" w:sz="4" w:space="4" w:color="auto"/>
          <w:bottom w:val="single" w:sz="4" w:space="1" w:color="auto"/>
          <w:right w:val="single" w:sz="4" w:space="4" w:color="auto"/>
        </w:pBdr>
        <w:tabs>
          <w:tab w:val="left" w:pos="1622"/>
        </w:tabs>
        <w:ind w:left="647" w:hanging="363"/>
      </w:pPr>
      <w:r w:rsidRPr="005F1AFD">
        <w:t>Agreement</w:t>
      </w:r>
      <w:r>
        <w:t>s on SL resource (re)selection</w:t>
      </w:r>
    </w:p>
    <w:p w14:paraId="149D1BF9" w14:textId="77777777" w:rsidR="007F7651" w:rsidRDefault="007F7651" w:rsidP="007F7651">
      <w:pPr>
        <w:pBdr>
          <w:top w:val="single" w:sz="4" w:space="1" w:color="auto"/>
          <w:left w:val="single" w:sz="4" w:space="4" w:color="auto"/>
          <w:bottom w:val="single" w:sz="4" w:space="1" w:color="auto"/>
          <w:right w:val="single" w:sz="4" w:space="4" w:color="auto"/>
        </w:pBdr>
        <w:tabs>
          <w:tab w:val="left" w:pos="1622"/>
        </w:tabs>
        <w:ind w:left="647" w:hanging="363"/>
      </w:pPr>
      <w:r>
        <w:t xml:space="preserve">1: </w:t>
      </w:r>
      <w:r>
        <w:tab/>
        <w:t xml:space="preserve">RAN2 understands </w:t>
      </w:r>
      <w:r w:rsidRPr="005647C8">
        <w:t xml:space="preserve">UE triggers a resource (re)selection when </w:t>
      </w:r>
      <w:r>
        <w:t>PSSCH</w:t>
      </w:r>
      <w:r w:rsidRPr="005647C8">
        <w:t xml:space="preserve"> transmission was not performed due to an LBT failure</w:t>
      </w:r>
      <w:r>
        <w:t xml:space="preserve"> indication from L1. FFS on MCST case. Send LS to RAN1 to check if there is any concern.</w:t>
      </w:r>
    </w:p>
    <w:p w14:paraId="6A46D70D" w14:textId="77777777" w:rsidR="007F7651" w:rsidRDefault="007F7651" w:rsidP="007F7651">
      <w:pPr>
        <w:pBdr>
          <w:top w:val="single" w:sz="4" w:space="1" w:color="auto"/>
          <w:left w:val="single" w:sz="4" w:space="4" w:color="auto"/>
          <w:bottom w:val="single" w:sz="4" w:space="1" w:color="auto"/>
          <w:right w:val="single" w:sz="4" w:space="4" w:color="auto"/>
        </w:pBdr>
        <w:tabs>
          <w:tab w:val="left" w:pos="1622"/>
        </w:tabs>
        <w:ind w:left="647" w:hanging="363"/>
        <w:rPr>
          <w:rFonts w:cs="Arial"/>
        </w:rPr>
      </w:pPr>
      <w:r>
        <w:t>2a:</w:t>
      </w:r>
      <w:r>
        <w:tab/>
      </w:r>
      <w:r w:rsidRPr="00DE0418">
        <w:rPr>
          <w:rFonts w:cs="Arial"/>
        </w:rPr>
        <w:t>RAN2 understands L1 handles LBT impact to/from other UEs’ reserved resources in SL candidate resource selection</w:t>
      </w:r>
      <w:r>
        <w:rPr>
          <w:rFonts w:cs="Arial"/>
        </w:rPr>
        <w:t xml:space="preserve"> (inter-UE case)</w:t>
      </w:r>
      <w:r w:rsidRPr="00DE0418">
        <w:rPr>
          <w:rFonts w:cs="Arial"/>
        </w:rPr>
        <w:t>.</w:t>
      </w:r>
    </w:p>
    <w:p w14:paraId="3AB50562" w14:textId="77777777" w:rsidR="007F7651" w:rsidRDefault="007F7651" w:rsidP="007F7651">
      <w:pPr>
        <w:pBdr>
          <w:top w:val="single" w:sz="4" w:space="1" w:color="auto"/>
          <w:left w:val="single" w:sz="4" w:space="4" w:color="auto"/>
          <w:bottom w:val="single" w:sz="4" w:space="1" w:color="auto"/>
          <w:right w:val="single" w:sz="4" w:space="4" w:color="auto"/>
        </w:pBdr>
        <w:tabs>
          <w:tab w:val="left" w:pos="1622"/>
        </w:tabs>
        <w:ind w:left="647" w:hanging="363"/>
        <w:rPr>
          <w:rFonts w:cs="Arial"/>
        </w:rPr>
      </w:pPr>
      <w:r>
        <w:t>2b:</w:t>
      </w:r>
      <w:r>
        <w:tab/>
      </w:r>
      <w:r w:rsidRPr="000E6935">
        <w:rPr>
          <w:rFonts w:cs="Arial"/>
        </w:rPr>
        <w:t>RAN2 will study how MAC performs resource (re)selection with the consideration of LBT impact to its own candidate resource (intra-UE case).</w:t>
      </w:r>
    </w:p>
    <w:p w14:paraId="4D9C5D83" w14:textId="77777777" w:rsidR="007F7651" w:rsidRDefault="007F7651" w:rsidP="007F7651">
      <w:pPr>
        <w:pBdr>
          <w:top w:val="single" w:sz="4" w:space="1" w:color="auto"/>
          <w:left w:val="single" w:sz="4" w:space="4" w:color="auto"/>
          <w:bottom w:val="single" w:sz="4" w:space="1" w:color="auto"/>
          <w:right w:val="single" w:sz="4" w:space="4" w:color="auto"/>
        </w:pBdr>
        <w:tabs>
          <w:tab w:val="left" w:pos="1622"/>
        </w:tabs>
        <w:ind w:left="647" w:hanging="363"/>
      </w:pPr>
      <w:r>
        <w:rPr>
          <w:rFonts w:cs="Arial"/>
        </w:rPr>
        <w:t>3:</w:t>
      </w:r>
      <w:r>
        <w:rPr>
          <w:rFonts w:cs="Arial"/>
        </w:rPr>
        <w:tab/>
        <w:t>Will send LS to RAN1 to check if there is any concern.</w:t>
      </w:r>
    </w:p>
    <w:p w14:paraId="7C7BEB77" w14:textId="04E8FBE6" w:rsidR="007F7651" w:rsidRDefault="00365E20" w:rsidP="009339CB">
      <w:r>
        <w:t xml:space="preserve">As was also discussed in </w:t>
      </w:r>
      <w:r w:rsidR="00915173">
        <w:t>R2-</w:t>
      </w:r>
      <w:r w:rsidR="00CD4AA0">
        <w:t>2305229</w:t>
      </w:r>
      <w:r w:rsidR="00966125">
        <w:t xml:space="preserve"> by</w:t>
      </w:r>
      <w:r w:rsidR="00AA335B">
        <w:t xml:space="preserve"> Xiaomi, at least 2a is still being discussed in RAN1 and no reply have been provided to RAN2 on the matter yet. However, since RAN1 has also not provided any concerns about the work split, we suggest to at least handle 2b in the timeframe of RAN2#123</w:t>
      </w:r>
      <w:r w:rsidR="00166760">
        <w:t xml:space="preserve"> in order to meet the specification freeze. This document proposes a simple resolution to the issue</w:t>
      </w:r>
      <w:r w:rsidR="00EB3820">
        <w:t>.</w:t>
      </w:r>
    </w:p>
    <w:p w14:paraId="40DF767F" w14:textId="220077AF" w:rsidR="00EB3820" w:rsidRPr="00365E20" w:rsidRDefault="00320C9B" w:rsidP="001720EC">
      <w:pPr>
        <w:jc w:val="both"/>
      </w:pPr>
      <w:r>
        <w:t xml:space="preserve">In addition, in this document </w:t>
      </w:r>
      <w:r w:rsidR="00EB3820">
        <w:t xml:space="preserve">we </w:t>
      </w:r>
      <w:r w:rsidR="004914C2">
        <w:t>discuss on the LCP enhancements specifically on how to address the case where “</w:t>
      </w:r>
      <w:r w:rsidR="004914C2" w:rsidRPr="00D125C4">
        <w:t xml:space="preserve">PDU not generated before COT arrival, and there is data in RLC buffer satisfying the COT requirement” as well as on the need for </w:t>
      </w:r>
      <w:r w:rsidR="00677F64" w:rsidRPr="00D125C4">
        <w:t xml:space="preserve">assistance information exchange between potential responding UEs and </w:t>
      </w:r>
      <w:r w:rsidR="00D125C4" w:rsidRPr="00D125C4">
        <w:t>COT initiating UE.</w:t>
      </w:r>
    </w:p>
    <w:p w14:paraId="5A06C04B" w14:textId="7CCA7A6B" w:rsidR="004B5F8F" w:rsidRDefault="009339CB" w:rsidP="009339CB">
      <w:pPr>
        <w:pStyle w:val="Heading1"/>
      </w:pPr>
      <w:r w:rsidRPr="006E13D1">
        <w:t>2</w:t>
      </w:r>
      <w:r w:rsidR="004B5F8F">
        <w:t xml:space="preserve"> </w:t>
      </w:r>
      <w:r w:rsidR="004B5F8F">
        <w:tab/>
        <w:t>Discussion</w:t>
      </w:r>
    </w:p>
    <w:p w14:paraId="7D484B6E" w14:textId="58429061" w:rsidR="009339CB" w:rsidRPr="009E1C57" w:rsidRDefault="004B5F8F" w:rsidP="009339CB">
      <w:pPr>
        <w:pStyle w:val="Heading1"/>
      </w:pPr>
      <w:r>
        <w:t>2.1</w:t>
      </w:r>
      <w:r w:rsidR="009339CB" w:rsidRPr="006E13D1">
        <w:tab/>
      </w:r>
      <w:r w:rsidR="0086776B">
        <w:t>On resource</w:t>
      </w:r>
      <w:r w:rsidR="00FC50A9">
        <w:t xml:space="preserve"> (re)selection</w:t>
      </w:r>
    </w:p>
    <w:p w14:paraId="61414B6A" w14:textId="1D2182A0" w:rsidR="00A56338" w:rsidRDefault="00A56338" w:rsidP="00A56338">
      <w:pPr>
        <w:jc w:val="both"/>
        <w:rPr>
          <w:lang w:eastAsia="ko-KR"/>
        </w:rPr>
      </w:pPr>
      <w:r>
        <w:rPr>
          <w:rFonts w:hint="eastAsia"/>
          <w:lang w:eastAsia="ko-KR"/>
        </w:rPr>
        <w:t>In</w:t>
      </w:r>
      <w:r w:rsidR="00676860">
        <w:rPr>
          <w:lang w:eastAsia="ko-KR"/>
        </w:rPr>
        <w:t xml:space="preserve"> RAN2</w:t>
      </w:r>
      <w:r>
        <w:rPr>
          <w:rFonts w:hint="eastAsia"/>
          <w:lang w:eastAsia="ko-KR"/>
        </w:rPr>
        <w:t xml:space="preserve">#121 RAN2 discussed </w:t>
      </w:r>
      <w:r w:rsidR="006710CA">
        <w:rPr>
          <w:lang w:eastAsia="ko-KR"/>
        </w:rPr>
        <w:t xml:space="preserve">how to resolve the issue where </w:t>
      </w:r>
      <w:r w:rsidR="00F64FD3">
        <w:rPr>
          <w:lang w:eastAsia="ko-KR"/>
        </w:rPr>
        <w:t>a UE blocks the LBT access</w:t>
      </w:r>
      <w:r w:rsidR="0057106B">
        <w:rPr>
          <w:lang w:eastAsia="ko-KR"/>
        </w:rPr>
        <w:t xml:space="preserve"> for another UE</w:t>
      </w:r>
      <w:r w:rsidR="00362F47">
        <w:rPr>
          <w:lang w:eastAsia="ko-KR"/>
        </w:rPr>
        <w:t xml:space="preserve"> (inter-UE case)</w:t>
      </w:r>
      <w:r w:rsidR="0057106B">
        <w:rPr>
          <w:lang w:eastAsia="ko-KR"/>
        </w:rPr>
        <w:t>, or its</w:t>
      </w:r>
      <w:r w:rsidR="009A3207">
        <w:rPr>
          <w:lang w:eastAsia="ko-KR"/>
        </w:rPr>
        <w:t>elf</w:t>
      </w:r>
      <w:r w:rsidR="00362F47">
        <w:rPr>
          <w:lang w:eastAsia="ko-KR"/>
        </w:rPr>
        <w:t xml:space="preserve"> (intra-UE case)</w:t>
      </w:r>
      <w:r>
        <w:rPr>
          <w:rFonts w:hint="eastAsia"/>
          <w:lang w:eastAsia="ko-KR"/>
        </w:rPr>
        <w:t>. Based on the discussion, RAN2 made the following agreement.</w:t>
      </w:r>
      <w:r w:rsidR="001D1544">
        <w:rPr>
          <w:lang w:eastAsia="ko-KR"/>
        </w:rPr>
        <w:t xml:space="preserve"> </w:t>
      </w:r>
      <w:r>
        <w:rPr>
          <w:rFonts w:hint="eastAsia"/>
          <w:lang w:eastAsia="ko-KR"/>
        </w:rPr>
        <w:t>Besides, RAN2 sent LS to RAN1 to check that RAN2's understanding of Type 1 LBT blocking issues is correct.</w:t>
      </w:r>
    </w:p>
    <w:tbl>
      <w:tblPr>
        <w:tblStyle w:val="TableGrid"/>
        <w:tblW w:w="0" w:type="auto"/>
        <w:tblLook w:val="04A0" w:firstRow="1" w:lastRow="0" w:firstColumn="1" w:lastColumn="0" w:noHBand="0" w:noVBand="1"/>
      </w:tblPr>
      <w:tblGrid>
        <w:gridCol w:w="9631"/>
      </w:tblGrid>
      <w:tr w:rsidR="00A56338" w14:paraId="54B2B2EF" w14:textId="77777777" w:rsidTr="00633C28">
        <w:tc>
          <w:tcPr>
            <w:tcW w:w="9631" w:type="dxa"/>
            <w:tcBorders>
              <w:top w:val="single" w:sz="4" w:space="0" w:color="auto"/>
              <w:left w:val="single" w:sz="4" w:space="0" w:color="auto"/>
              <w:bottom w:val="single" w:sz="4" w:space="0" w:color="auto"/>
              <w:right w:val="single" w:sz="4" w:space="0" w:color="auto"/>
            </w:tcBorders>
            <w:hideMark/>
          </w:tcPr>
          <w:p w14:paraId="20F71559" w14:textId="77777777" w:rsidR="00A56338" w:rsidRPr="000C04D3" w:rsidRDefault="00A56338" w:rsidP="00633C28">
            <w:pPr>
              <w:autoSpaceDE w:val="0"/>
              <w:autoSpaceDN w:val="0"/>
              <w:spacing w:after="0"/>
              <w:jc w:val="both"/>
              <w:rPr>
                <w:rFonts w:ascii="Times New Roman" w:hAnsi="Times New Roman"/>
                <w:lang w:eastAsia="ko-KR"/>
              </w:rPr>
            </w:pPr>
            <w:r w:rsidRPr="000C04D3">
              <w:rPr>
                <w:rFonts w:ascii="Times New Roman" w:hAnsi="Times New Roman"/>
                <w:lang w:eastAsia="ko-KR"/>
              </w:rPr>
              <w:t>RAN2#121</w:t>
            </w:r>
          </w:p>
          <w:p w14:paraId="41FACA21" w14:textId="77777777" w:rsidR="00A56338" w:rsidRPr="000C04D3" w:rsidRDefault="00A56338" w:rsidP="00633C28">
            <w:pPr>
              <w:autoSpaceDE w:val="0"/>
              <w:autoSpaceDN w:val="0"/>
              <w:spacing w:after="0"/>
              <w:jc w:val="both"/>
              <w:rPr>
                <w:rFonts w:ascii="Times New Roman" w:hAnsi="Times New Roman"/>
                <w:lang w:eastAsia="zh-TW"/>
              </w:rPr>
            </w:pPr>
            <w:r w:rsidRPr="000C04D3">
              <w:rPr>
                <w:rFonts w:ascii="Times New Roman" w:hAnsi="Times New Roman"/>
                <w:highlight w:val="yellow"/>
                <w:lang w:eastAsia="zh-TW"/>
              </w:rPr>
              <w:t>Agreement</w:t>
            </w:r>
          </w:p>
          <w:p w14:paraId="4D2922D0" w14:textId="77777777" w:rsidR="00A56338" w:rsidRPr="000C04D3" w:rsidRDefault="00A56338" w:rsidP="00633C28">
            <w:pPr>
              <w:autoSpaceDE w:val="0"/>
              <w:autoSpaceDN w:val="0"/>
              <w:spacing w:after="0"/>
              <w:jc w:val="both"/>
              <w:rPr>
                <w:rFonts w:ascii="Times New Roman" w:hAnsi="Times New Roman"/>
                <w:lang w:eastAsia="zh-TW"/>
              </w:rPr>
            </w:pPr>
            <w:r w:rsidRPr="000C04D3">
              <w:rPr>
                <w:rFonts w:ascii="Times New Roman" w:hAnsi="Times New Roman"/>
                <w:lang w:eastAsia="zh-TW"/>
              </w:rPr>
              <w:t>RAN2 understands L1 handles LBT impact to/from other UEs’ reserved resources in SL candidate resource selection (inter-UE case).</w:t>
            </w:r>
          </w:p>
          <w:p w14:paraId="3E2962B3" w14:textId="77777777" w:rsidR="00A56338" w:rsidRPr="000C04D3" w:rsidRDefault="00A56338" w:rsidP="00633C28">
            <w:pPr>
              <w:autoSpaceDE w:val="0"/>
              <w:autoSpaceDN w:val="0"/>
              <w:spacing w:after="0"/>
              <w:jc w:val="both"/>
              <w:rPr>
                <w:rFonts w:ascii="Times New Roman" w:hAnsi="Times New Roman"/>
                <w:lang w:eastAsia="zh-TW"/>
              </w:rPr>
            </w:pPr>
            <w:r w:rsidRPr="000C04D3">
              <w:rPr>
                <w:rFonts w:ascii="Times New Roman" w:hAnsi="Times New Roman"/>
                <w:lang w:eastAsia="zh-TW"/>
              </w:rPr>
              <w:t>RAN2 will study how MAC performs resource (re)selection with the consideration of LBT impact to its own candidate resource (intra-UE case).</w:t>
            </w:r>
          </w:p>
          <w:p w14:paraId="54BC3E66" w14:textId="77777777" w:rsidR="00A56338" w:rsidRDefault="00A56338" w:rsidP="00633C28">
            <w:pPr>
              <w:autoSpaceDE w:val="0"/>
              <w:autoSpaceDN w:val="0"/>
              <w:spacing w:after="0"/>
              <w:jc w:val="both"/>
              <w:rPr>
                <w:lang w:eastAsia="ko-KR"/>
              </w:rPr>
            </w:pPr>
            <w:r w:rsidRPr="000C04D3">
              <w:rPr>
                <w:rFonts w:ascii="Times New Roman" w:hAnsi="Times New Roman"/>
                <w:lang w:eastAsia="zh-TW"/>
              </w:rPr>
              <w:t>Will send LS to RAN1 to check if there is any concern.</w:t>
            </w:r>
          </w:p>
        </w:tc>
      </w:tr>
    </w:tbl>
    <w:p w14:paraId="66875988" w14:textId="77777777" w:rsidR="00A56338" w:rsidRDefault="00A56338" w:rsidP="00A56338">
      <w:pPr>
        <w:jc w:val="both"/>
        <w:rPr>
          <w:rFonts w:asciiTheme="minorHAnsi" w:eastAsiaTheme="minorHAnsi" w:hAnsiTheme="minorHAnsi" w:cstheme="minorBidi"/>
          <w:kern w:val="2"/>
          <w:sz w:val="22"/>
          <w:szCs w:val="22"/>
          <w:lang w:eastAsia="ko-KR"/>
          <w14:ligatures w14:val="standardContextual"/>
        </w:rPr>
      </w:pPr>
    </w:p>
    <w:p w14:paraId="756628FE" w14:textId="5EEB744B" w:rsidR="006162F5" w:rsidRDefault="00A3353B" w:rsidP="00E91F82">
      <w:pPr>
        <w:spacing w:after="120"/>
        <w:jc w:val="both"/>
      </w:pPr>
      <w:r>
        <w:t xml:space="preserve">As </w:t>
      </w:r>
      <w:r w:rsidR="005B7B59" w:rsidRPr="00E91F82">
        <w:rPr>
          <w:lang w:val="en-US"/>
        </w:rPr>
        <w:t>many companies discussed in their documents for RAN2#122, RAN1 discussion is still ongoing on the in</w:t>
      </w:r>
      <w:r w:rsidR="0067359A">
        <w:t>ter</w:t>
      </w:r>
      <w:r w:rsidR="005B7B59" w:rsidRPr="00E91F82">
        <w:rPr>
          <w:lang w:val="en-US"/>
        </w:rPr>
        <w:t>-UE case</w:t>
      </w:r>
      <w:r w:rsidR="007141FC">
        <w:t>, whereas RAN</w:t>
      </w:r>
      <w:r w:rsidR="00057FC4">
        <w:t>1</w:t>
      </w:r>
      <w:r w:rsidR="007141FC">
        <w:t xml:space="preserve"> has </w:t>
      </w:r>
      <w:r w:rsidR="003267FB">
        <w:t xml:space="preserve">achieved </w:t>
      </w:r>
      <w:r w:rsidR="006162F5">
        <w:t xml:space="preserve">the following </w:t>
      </w:r>
      <w:r w:rsidR="003267FB">
        <w:t xml:space="preserve">working assumption for the </w:t>
      </w:r>
      <w:r w:rsidR="007141FC">
        <w:t>inter-UE case</w:t>
      </w:r>
      <w:r w:rsidR="00C85E28">
        <w:t>:</w:t>
      </w:r>
    </w:p>
    <w:tbl>
      <w:tblPr>
        <w:tblStyle w:val="TableGrid"/>
        <w:tblW w:w="0" w:type="auto"/>
        <w:tblLook w:val="04A0" w:firstRow="1" w:lastRow="0" w:firstColumn="1" w:lastColumn="0" w:noHBand="0" w:noVBand="1"/>
      </w:tblPr>
      <w:tblGrid>
        <w:gridCol w:w="9631"/>
      </w:tblGrid>
      <w:tr w:rsidR="006162F5" w14:paraId="05DCE27A" w14:textId="77777777" w:rsidTr="006162F5">
        <w:tc>
          <w:tcPr>
            <w:tcW w:w="9631" w:type="dxa"/>
          </w:tcPr>
          <w:p w14:paraId="3B22B56D" w14:textId="77777777" w:rsidR="00427F26" w:rsidRDefault="00427F26" w:rsidP="00427F26">
            <w:pPr>
              <w:autoSpaceDE w:val="0"/>
              <w:autoSpaceDN w:val="0"/>
              <w:jc w:val="both"/>
              <w:rPr>
                <w:rFonts w:ascii="Times New Roman" w:eastAsia="DengXian" w:hAnsi="Times New Roman"/>
                <w:lang w:eastAsia="zh-CN"/>
              </w:rPr>
            </w:pPr>
            <w:r>
              <w:rPr>
                <w:rFonts w:ascii="Times New Roman" w:hAnsi="Times New Roman"/>
                <w:b/>
                <w:bCs/>
                <w:highlight w:val="darkYellow"/>
              </w:rPr>
              <w:lastRenderedPageBreak/>
              <w:t>Working assumption</w:t>
            </w:r>
          </w:p>
          <w:p w14:paraId="3D96E174" w14:textId="77777777" w:rsidR="00427F26" w:rsidRDefault="00427F26" w:rsidP="00427F26">
            <w:pPr>
              <w:autoSpaceDE w:val="0"/>
              <w:autoSpaceDN w:val="0"/>
              <w:jc w:val="both"/>
              <w:rPr>
                <w:rFonts w:ascii="Times New Roman" w:hAnsi="Times New Roman"/>
              </w:rPr>
            </w:pPr>
            <w:r>
              <w:rPr>
                <w:rFonts w:ascii="Times New Roman" w:hAnsi="Times New Roman"/>
              </w:rPr>
              <w:t>For Type 1 LBT block issue (inter-UE case), the following option 2 and option 1 are supported separately based on UE capability</w:t>
            </w:r>
          </w:p>
          <w:p w14:paraId="6053E439" w14:textId="77777777" w:rsidR="00427F26" w:rsidRDefault="00427F26" w:rsidP="00427F26">
            <w:pPr>
              <w:pStyle w:val="ListParagraph"/>
              <w:numPr>
                <w:ilvl w:val="0"/>
                <w:numId w:val="13"/>
              </w:numPr>
              <w:overflowPunct/>
              <w:adjustRightInd/>
              <w:spacing w:after="0"/>
              <w:contextualSpacing w:val="0"/>
              <w:jc w:val="both"/>
              <w:textAlignment w:val="auto"/>
              <w:rPr>
                <w:rFonts w:ascii="Times New Roman" w:hAnsi="Times New Roman"/>
                <w:color w:val="000000"/>
              </w:rPr>
            </w:pPr>
            <w:r>
              <w:rPr>
                <w:rFonts w:ascii="Times New Roman" w:hAnsi="Times New Roman"/>
                <w:color w:val="000000"/>
              </w:rPr>
              <w:t xml:space="preserve">Option 2: If transmission in slot(s) before a reserved resource is able to share its initiated COT to the reservation [with high L1 SL priority], UE may prioritize/select resource(s) in the slot(s) for transmission. </w:t>
            </w:r>
          </w:p>
          <w:p w14:paraId="0D674AAF" w14:textId="77777777" w:rsidR="00427F26" w:rsidRDefault="00427F26" w:rsidP="00427F26">
            <w:pPr>
              <w:pStyle w:val="ListParagraph"/>
              <w:numPr>
                <w:ilvl w:val="1"/>
                <w:numId w:val="14"/>
              </w:numPr>
              <w:overflowPunct/>
              <w:adjustRightInd/>
              <w:snapToGrid w:val="0"/>
              <w:spacing w:after="0"/>
              <w:contextualSpacing w:val="0"/>
              <w:jc w:val="both"/>
              <w:textAlignment w:val="auto"/>
              <w:rPr>
                <w:rFonts w:ascii="Times New Roman" w:hAnsi="Times New Roman"/>
                <w:color w:val="000000"/>
              </w:rPr>
            </w:pPr>
            <w:r>
              <w:rPr>
                <w:rFonts w:ascii="Times New Roman" w:hAnsi="Times New Roman"/>
                <w:color w:val="000000"/>
              </w:rPr>
              <w:t>FFS: details of applying this prioritization, which layer to perform above prioritization behaviour, and if the reserved resource belongs to a MCSt, the COT initiating UE should be able to share the COT to cover the whole MCSt</w:t>
            </w:r>
          </w:p>
          <w:p w14:paraId="4EA8C53C" w14:textId="77777777" w:rsidR="00427F26" w:rsidRDefault="00427F26" w:rsidP="00427F26">
            <w:pPr>
              <w:pStyle w:val="ListParagraph"/>
              <w:numPr>
                <w:ilvl w:val="1"/>
                <w:numId w:val="14"/>
              </w:numPr>
              <w:overflowPunct/>
              <w:adjustRightInd/>
              <w:snapToGrid w:val="0"/>
              <w:spacing w:after="0"/>
              <w:contextualSpacing w:val="0"/>
              <w:jc w:val="both"/>
              <w:textAlignment w:val="auto"/>
              <w:rPr>
                <w:rFonts w:ascii="Times New Roman" w:hAnsi="Times New Roman"/>
                <w:color w:val="000000"/>
              </w:rPr>
            </w:pPr>
            <w:r>
              <w:rPr>
                <w:rFonts w:ascii="Times New Roman" w:hAnsi="Times New Roman"/>
                <w:color w:val="000000"/>
              </w:rPr>
              <w:t>(pre)configuring enabling/disabling option 2 is supported</w:t>
            </w:r>
          </w:p>
          <w:p w14:paraId="3BA36856" w14:textId="77777777" w:rsidR="00427F26" w:rsidRDefault="00427F26" w:rsidP="00427F26">
            <w:pPr>
              <w:pStyle w:val="ListParagraph"/>
              <w:numPr>
                <w:ilvl w:val="0"/>
                <w:numId w:val="13"/>
              </w:numPr>
              <w:overflowPunct/>
              <w:adjustRightInd/>
              <w:spacing w:after="0"/>
              <w:contextualSpacing w:val="0"/>
              <w:jc w:val="both"/>
              <w:textAlignment w:val="auto"/>
              <w:rPr>
                <w:rFonts w:ascii="Times New Roman" w:hAnsi="Times New Roman"/>
                <w:color w:val="000000"/>
              </w:rPr>
            </w:pPr>
            <w:r>
              <w:rPr>
                <w:rFonts w:ascii="Times New Roman" w:hAnsi="Times New Roman"/>
                <w:color w:val="000000"/>
              </w:rPr>
              <w:t xml:space="preserve">Option 1: </w:t>
            </w:r>
          </w:p>
          <w:p w14:paraId="06E68768" w14:textId="77777777" w:rsidR="00427F26" w:rsidRDefault="00427F26" w:rsidP="00427F26">
            <w:pPr>
              <w:pStyle w:val="ListParagraph"/>
              <w:numPr>
                <w:ilvl w:val="1"/>
                <w:numId w:val="14"/>
              </w:numPr>
              <w:overflowPunct/>
              <w:adjustRightInd/>
              <w:snapToGrid w:val="0"/>
              <w:spacing w:after="0"/>
              <w:contextualSpacing w:val="0"/>
              <w:jc w:val="both"/>
              <w:textAlignment w:val="auto"/>
              <w:rPr>
                <w:rFonts w:ascii="Times New Roman" w:hAnsi="Times New Roman"/>
                <w:color w:val="000000"/>
              </w:rPr>
            </w:pPr>
            <w:r>
              <w:rPr>
                <w:rFonts w:ascii="Times New Roman" w:hAnsi="Times New Roman"/>
                <w:color w:val="000000"/>
              </w:rPr>
              <w:t xml:space="preserve">UE may avoid selection of N consecutive resource(s) before a reserved resource with high L1 SL priority. </w:t>
            </w:r>
          </w:p>
          <w:p w14:paraId="54E5644A" w14:textId="77777777" w:rsidR="00427F26" w:rsidRDefault="00427F26" w:rsidP="00427F26">
            <w:pPr>
              <w:pStyle w:val="ListParagraph"/>
              <w:numPr>
                <w:ilvl w:val="2"/>
                <w:numId w:val="14"/>
              </w:numPr>
              <w:overflowPunct/>
              <w:adjustRightInd/>
              <w:snapToGrid w:val="0"/>
              <w:spacing w:after="0"/>
              <w:contextualSpacing w:val="0"/>
              <w:jc w:val="both"/>
              <w:textAlignment w:val="auto"/>
              <w:rPr>
                <w:rFonts w:ascii="Times New Roman" w:hAnsi="Times New Roman"/>
                <w:color w:val="000000"/>
              </w:rPr>
            </w:pPr>
            <w:r>
              <w:rPr>
                <w:rFonts w:ascii="Times New Roman" w:hAnsi="Times New Roman"/>
                <w:color w:val="000000"/>
              </w:rPr>
              <w:t>The value of N can be selected from {0, 1, 2}</w:t>
            </w:r>
          </w:p>
          <w:p w14:paraId="7F455DF8" w14:textId="77777777" w:rsidR="00427F26" w:rsidRDefault="00427F26" w:rsidP="00427F26">
            <w:pPr>
              <w:pStyle w:val="ListParagraph"/>
              <w:numPr>
                <w:ilvl w:val="2"/>
                <w:numId w:val="14"/>
              </w:numPr>
              <w:overflowPunct/>
              <w:adjustRightInd/>
              <w:snapToGrid w:val="0"/>
              <w:spacing w:after="0"/>
              <w:contextualSpacing w:val="0"/>
              <w:jc w:val="both"/>
              <w:textAlignment w:val="auto"/>
              <w:rPr>
                <w:rFonts w:ascii="Times New Roman" w:hAnsi="Times New Roman"/>
                <w:color w:val="000000"/>
              </w:rPr>
            </w:pPr>
            <w:r>
              <w:rPr>
                <w:rFonts w:ascii="Times New Roman" w:hAnsi="Times New Roman"/>
                <w:color w:val="000000"/>
              </w:rPr>
              <w:t>The selection of the value of N is up to UE implementation</w:t>
            </w:r>
          </w:p>
          <w:p w14:paraId="2332F34C" w14:textId="77777777" w:rsidR="00427F26" w:rsidRDefault="00427F26" w:rsidP="00427F26">
            <w:pPr>
              <w:pStyle w:val="ListParagraph"/>
              <w:numPr>
                <w:ilvl w:val="3"/>
                <w:numId w:val="14"/>
              </w:numPr>
              <w:overflowPunct/>
              <w:adjustRightInd/>
              <w:snapToGrid w:val="0"/>
              <w:spacing w:after="0"/>
              <w:contextualSpacing w:val="0"/>
              <w:jc w:val="both"/>
              <w:textAlignment w:val="auto"/>
              <w:rPr>
                <w:rFonts w:ascii="Times New Roman" w:hAnsi="Times New Roman"/>
                <w:color w:val="000000"/>
              </w:rPr>
            </w:pPr>
            <w:r>
              <w:rPr>
                <w:rFonts w:ascii="Times New Roman" w:hAnsi="Times New Roman"/>
                <w:color w:val="000000"/>
              </w:rPr>
              <w:t>FFS: unless (pre-)configured or indicated by UE reserved resource in SCI</w:t>
            </w:r>
          </w:p>
          <w:p w14:paraId="74AC7C5A" w14:textId="77777777" w:rsidR="00427F26" w:rsidRDefault="00427F26" w:rsidP="00427F26">
            <w:pPr>
              <w:pStyle w:val="ListParagraph"/>
              <w:numPr>
                <w:ilvl w:val="1"/>
                <w:numId w:val="14"/>
              </w:numPr>
              <w:overflowPunct/>
              <w:adjustRightInd/>
              <w:snapToGrid w:val="0"/>
              <w:spacing w:after="0"/>
              <w:contextualSpacing w:val="0"/>
              <w:jc w:val="both"/>
              <w:textAlignment w:val="auto"/>
              <w:rPr>
                <w:rFonts w:ascii="Times New Roman" w:hAnsi="Times New Roman"/>
                <w:color w:val="000000"/>
              </w:rPr>
            </w:pPr>
            <w:r>
              <w:rPr>
                <w:rFonts w:ascii="Times New Roman" w:hAnsi="Times New Roman"/>
                <w:color w:val="000000"/>
              </w:rPr>
              <w:t xml:space="preserve">UE may avoid selection of M consecutive resource(s) after a reserved resource when the transmitting symbols of the reserved resource overlap with LBT of the selected resource. </w:t>
            </w:r>
          </w:p>
          <w:p w14:paraId="182B8F6B" w14:textId="77777777" w:rsidR="00427F26" w:rsidRDefault="00427F26" w:rsidP="00427F26">
            <w:pPr>
              <w:pStyle w:val="ListParagraph"/>
              <w:numPr>
                <w:ilvl w:val="2"/>
                <w:numId w:val="14"/>
              </w:numPr>
              <w:overflowPunct/>
              <w:adjustRightInd/>
              <w:snapToGrid w:val="0"/>
              <w:spacing w:after="0"/>
              <w:contextualSpacing w:val="0"/>
              <w:jc w:val="both"/>
              <w:textAlignment w:val="auto"/>
              <w:rPr>
                <w:rFonts w:ascii="Times New Roman" w:hAnsi="Times New Roman"/>
                <w:color w:val="000000"/>
              </w:rPr>
            </w:pPr>
            <w:r>
              <w:rPr>
                <w:rFonts w:ascii="Times New Roman" w:hAnsi="Times New Roman"/>
                <w:color w:val="000000"/>
              </w:rPr>
              <w:t>M is determined based on UE implementation (at least including 0)</w:t>
            </w:r>
          </w:p>
          <w:p w14:paraId="5A29C620" w14:textId="77777777" w:rsidR="00427F26" w:rsidRDefault="00427F26" w:rsidP="00427F26">
            <w:pPr>
              <w:pStyle w:val="ListParagraph"/>
              <w:numPr>
                <w:ilvl w:val="1"/>
                <w:numId w:val="14"/>
              </w:numPr>
              <w:overflowPunct/>
              <w:adjustRightInd/>
              <w:snapToGrid w:val="0"/>
              <w:spacing w:after="0"/>
              <w:contextualSpacing w:val="0"/>
              <w:jc w:val="both"/>
              <w:textAlignment w:val="auto"/>
              <w:rPr>
                <w:rFonts w:ascii="Times New Roman" w:hAnsi="Times New Roman"/>
                <w:color w:val="000000"/>
              </w:rPr>
            </w:pPr>
            <w:r>
              <w:rPr>
                <w:rFonts w:ascii="Times New Roman" w:hAnsi="Times New Roman"/>
                <w:color w:val="000000"/>
              </w:rPr>
              <w:t>FFS: Which layer to perform above behaviour</w:t>
            </w:r>
          </w:p>
          <w:p w14:paraId="0FA293B1" w14:textId="77777777" w:rsidR="00427F26" w:rsidRDefault="00427F26" w:rsidP="00427F26">
            <w:pPr>
              <w:pStyle w:val="ListParagraph"/>
              <w:numPr>
                <w:ilvl w:val="1"/>
                <w:numId w:val="14"/>
              </w:numPr>
              <w:overflowPunct/>
              <w:adjustRightInd/>
              <w:snapToGrid w:val="0"/>
              <w:spacing w:after="0"/>
              <w:contextualSpacing w:val="0"/>
              <w:jc w:val="both"/>
              <w:textAlignment w:val="auto"/>
              <w:rPr>
                <w:rFonts w:ascii="Times New Roman" w:hAnsi="Times New Roman"/>
                <w:color w:val="000000"/>
              </w:rPr>
            </w:pPr>
            <w:r>
              <w:rPr>
                <w:rFonts w:ascii="Times New Roman" w:hAnsi="Times New Roman"/>
              </w:rPr>
              <w:t>FFS: any restriction of M</w:t>
            </w:r>
          </w:p>
          <w:p w14:paraId="6B08AD83" w14:textId="77777777" w:rsidR="00427F26" w:rsidRDefault="00427F26" w:rsidP="00427F26">
            <w:pPr>
              <w:pStyle w:val="ListParagraph"/>
              <w:numPr>
                <w:ilvl w:val="1"/>
                <w:numId w:val="14"/>
              </w:numPr>
              <w:overflowPunct/>
              <w:adjustRightInd/>
              <w:snapToGrid w:val="0"/>
              <w:spacing w:after="0"/>
              <w:contextualSpacing w:val="0"/>
              <w:jc w:val="both"/>
              <w:textAlignment w:val="auto"/>
              <w:rPr>
                <w:rFonts w:ascii="Times New Roman" w:hAnsi="Times New Roman"/>
                <w:color w:val="000000"/>
              </w:rPr>
            </w:pPr>
            <w:r>
              <w:rPr>
                <w:rFonts w:ascii="Times New Roman" w:hAnsi="Times New Roman"/>
                <w:color w:val="000000"/>
              </w:rPr>
              <w:t>(pre)configuring enabling/disabling option 1 is supported</w:t>
            </w:r>
          </w:p>
          <w:p w14:paraId="46F56DFB" w14:textId="77777777" w:rsidR="00427F26" w:rsidRDefault="00427F26" w:rsidP="00427F26">
            <w:pPr>
              <w:pStyle w:val="ListParagraph"/>
              <w:numPr>
                <w:ilvl w:val="0"/>
                <w:numId w:val="13"/>
              </w:numPr>
              <w:overflowPunct/>
              <w:adjustRightInd/>
              <w:spacing w:after="0"/>
              <w:contextualSpacing w:val="0"/>
              <w:jc w:val="both"/>
              <w:textAlignment w:val="auto"/>
              <w:rPr>
                <w:rFonts w:ascii="Times New Roman" w:hAnsi="Times New Roman"/>
              </w:rPr>
            </w:pPr>
            <w:r>
              <w:rPr>
                <w:rFonts w:ascii="Times New Roman" w:hAnsi="Times New Roman"/>
              </w:rPr>
              <w:t>FFS: Whether the above high priority is determined according to a (pre)configured threshold</w:t>
            </w:r>
          </w:p>
          <w:p w14:paraId="38DCB372" w14:textId="1361B5E2" w:rsidR="006162F5" w:rsidRPr="000C04D3" w:rsidRDefault="00427F26" w:rsidP="006D100F">
            <w:pPr>
              <w:pStyle w:val="ListParagraph"/>
              <w:rPr>
                <w:sz w:val="24"/>
                <w:szCs w:val="24"/>
              </w:rPr>
            </w:pPr>
            <w:r>
              <w:rPr>
                <w:rFonts w:ascii="Times New Roman" w:hAnsi="Times New Roman"/>
              </w:rPr>
              <w:t>Note: both option1 and option2 are optional UE features</w:t>
            </w:r>
          </w:p>
        </w:tc>
      </w:tr>
    </w:tbl>
    <w:p w14:paraId="7DB5E0EF" w14:textId="77777777" w:rsidR="006162F5" w:rsidRDefault="006162F5" w:rsidP="00E91F82">
      <w:pPr>
        <w:spacing w:after="120"/>
        <w:jc w:val="both"/>
      </w:pPr>
    </w:p>
    <w:p w14:paraId="3DF44DDF" w14:textId="6D09C8FB" w:rsidR="00194638" w:rsidRDefault="00C85E28" w:rsidP="00457A5F">
      <w:pPr>
        <w:spacing w:after="120"/>
        <w:jc w:val="both"/>
      </w:pPr>
      <w:r>
        <w:t>The current RAN1 working assumption is not directly applicable to the intra-UE case. However, s</w:t>
      </w:r>
      <w:r w:rsidR="00B16079">
        <w:t xml:space="preserve">olving the </w:t>
      </w:r>
      <w:r w:rsidR="59176B9D">
        <w:t>intra</w:t>
      </w:r>
      <w:r w:rsidR="00B16079">
        <w:t xml:space="preserve">-UE case </w:t>
      </w:r>
      <w:r w:rsidR="51EA7726">
        <w:t>could be handled</w:t>
      </w:r>
      <w:r w:rsidR="316636BC">
        <w:t xml:space="preserve"> by defining a minimum time gap between consecutive resources</w:t>
      </w:r>
      <w:r w:rsidR="4088AE17">
        <w:t xml:space="preserve"> </w:t>
      </w:r>
      <w:r w:rsidR="5EC9CFB4">
        <w:t>(</w:t>
      </w:r>
      <w:r w:rsidR="001502F8">
        <w:t>i.e.</w:t>
      </w:r>
      <w:r w:rsidR="78E7D8D4">
        <w:t xml:space="preserve"> </w:t>
      </w:r>
      <w:r w:rsidR="001502F8">
        <w:t xml:space="preserve">each resource </w:t>
      </w:r>
      <w:r w:rsidR="78E7D8D4">
        <w:t>in different COTs</w:t>
      </w:r>
      <w:r w:rsidR="5EC9CFB4">
        <w:t>)</w:t>
      </w:r>
      <w:r w:rsidR="59176B9D">
        <w:t xml:space="preserve"> </w:t>
      </w:r>
      <w:r w:rsidR="4088AE17">
        <w:t xml:space="preserve">as to ensure that the LBT </w:t>
      </w:r>
      <w:r w:rsidR="59176B9D">
        <w:t>Type 1</w:t>
      </w:r>
      <w:r w:rsidR="00EB2784">
        <w:t xml:space="preserve"> for acquiring the second COT</w:t>
      </w:r>
      <w:r w:rsidR="59176B9D">
        <w:t xml:space="preserve"> </w:t>
      </w:r>
      <w:r w:rsidR="4088AE17">
        <w:t>would have sufficient time to complete the second transmission.</w:t>
      </w:r>
      <w:r w:rsidR="2EE32694">
        <w:t xml:space="preserve"> </w:t>
      </w:r>
      <w:r w:rsidR="61B735DA">
        <w:t xml:space="preserve">However, </w:t>
      </w:r>
      <w:r w:rsidR="649E8903">
        <w:t>t</w:t>
      </w:r>
      <w:r w:rsidR="2EE32694">
        <w:t xml:space="preserve">he same issue was discussed during the Release-16 </w:t>
      </w:r>
      <w:r w:rsidR="6761C3EF">
        <w:t>regarding what should be the spacing</w:t>
      </w:r>
      <w:r w:rsidR="06C0D236">
        <w:t xml:space="preserve"> in time</w:t>
      </w:r>
      <w:r w:rsidR="6761C3EF">
        <w:t xml:space="preserve"> between initial transmission and retransmission</w:t>
      </w:r>
      <w:r w:rsidR="221E4261">
        <w:t xml:space="preserve"> and the conclusion was to leave it up to UE implementation.</w:t>
      </w:r>
      <w:r w:rsidR="1B7BAA03">
        <w:t xml:space="preserve"> </w:t>
      </w:r>
      <w:r w:rsidR="361DF274">
        <w:t xml:space="preserve">Therefore, </w:t>
      </w:r>
      <w:r w:rsidR="3FBFEA53">
        <w:t>w</w:t>
      </w:r>
      <w:r w:rsidR="1B7BAA03">
        <w:t>e should follow the same approach for the intra</w:t>
      </w:r>
      <w:r w:rsidR="249CB0A3">
        <w:t>-UE LBT blocking case.</w:t>
      </w:r>
    </w:p>
    <w:p w14:paraId="0D6F0572" w14:textId="5209BC40" w:rsidR="00A3353B" w:rsidRPr="00EC7495" w:rsidRDefault="008458C6" w:rsidP="00B16079">
      <w:pPr>
        <w:spacing w:after="120"/>
        <w:jc w:val="both"/>
        <w:rPr>
          <w:b/>
          <w:bCs/>
        </w:rPr>
      </w:pPr>
      <w:r w:rsidRPr="008458C6">
        <w:rPr>
          <w:b/>
          <w:bCs/>
        </w:rPr>
        <w:t>Proposal 1: The intr</w:t>
      </w:r>
      <w:r w:rsidR="0067143C">
        <w:rPr>
          <w:b/>
          <w:bCs/>
        </w:rPr>
        <w:t>a</w:t>
      </w:r>
      <w:r w:rsidRPr="008458C6">
        <w:rPr>
          <w:b/>
          <w:bCs/>
        </w:rPr>
        <w:t xml:space="preserve">-UE LBT blocking case can be up to UE implementation. </w:t>
      </w:r>
    </w:p>
    <w:p w14:paraId="1B2C067E" w14:textId="052AE287" w:rsidR="00E91F82" w:rsidRPr="007141FC" w:rsidRDefault="00A3353B" w:rsidP="00E91F82">
      <w:pPr>
        <w:spacing w:after="120"/>
        <w:jc w:val="both"/>
      </w:pPr>
      <w:r w:rsidRPr="00E91F82">
        <w:rPr>
          <w:lang w:val="en-US"/>
        </w:rPr>
        <w:t xml:space="preserve">As </w:t>
      </w:r>
      <w:r w:rsidR="007141FC">
        <w:t>another note, a</w:t>
      </w:r>
      <w:r w:rsidR="00E91F82">
        <w:rPr>
          <w:lang w:val="en-US"/>
        </w:rPr>
        <w:t>bout Mode 2 resource allocation, it was discussed in RAN1#112 whether t</w:t>
      </w:r>
      <w:r w:rsidR="00E91F82" w:rsidRPr="00F0296A">
        <w:rPr>
          <w:lang w:val="en-US"/>
        </w:rPr>
        <w:t>o address the potential issue of insufficient time for a UE to perform Type 1 LBT before a selected resource</w:t>
      </w:r>
      <w:r w:rsidR="00E91F82">
        <w:rPr>
          <w:lang w:val="en-US"/>
        </w:rPr>
        <w:t>,</w:t>
      </w:r>
      <w:r w:rsidR="00E91F82" w:rsidRPr="00F0296A">
        <w:rPr>
          <w:lang w:val="en-US"/>
        </w:rPr>
        <w:t xml:space="preserve"> </w:t>
      </w:r>
      <w:r w:rsidR="00E91F82">
        <w:rPr>
          <w:lang w:val="en-US"/>
        </w:rPr>
        <w:t>as</w:t>
      </w:r>
      <w:r w:rsidR="00E91F82" w:rsidRPr="00F0296A">
        <w:rPr>
          <w:lang w:val="en-US"/>
        </w:rPr>
        <w:t xml:space="preserve"> LBT sensing time can be longer than T1 of resource selection window</w:t>
      </w:r>
      <w:r w:rsidR="00E91F82">
        <w:rPr>
          <w:lang w:val="en-US"/>
        </w:rPr>
        <w:t xml:space="preserve">. In our view, there is no straightforward solution to handle that issue, since the exact LBT sensing time cannot be known in advance, i.e., </w:t>
      </w:r>
      <w:r w:rsidR="00E91F82" w:rsidRPr="0067668E">
        <w:rPr>
          <w:lang w:val="en-US"/>
        </w:rPr>
        <w:t>only an estimated duration can be determined a priori based on CW</w:t>
      </w:r>
      <w:r w:rsidR="00E91F82">
        <w:rPr>
          <w:lang w:val="en-US"/>
        </w:rPr>
        <w:t>,</w:t>
      </w:r>
      <w:r w:rsidR="00E91F82" w:rsidRPr="0067668E">
        <w:rPr>
          <w:lang w:val="en-US"/>
        </w:rPr>
        <w:t xml:space="preserve"> </w:t>
      </w:r>
      <w:r w:rsidR="00E91F82">
        <w:rPr>
          <w:lang w:val="en-US"/>
        </w:rPr>
        <w:t xml:space="preserve">while the resultant duration will depend on the randomly selected counter within CW and on the deferrals if a CCA slot is deemed as busy. In our view, this issue should be addressed by implementation together with a resource re-selection if a UE deem that Type 1 LBT cannot succeed before a selected resource. </w:t>
      </w:r>
    </w:p>
    <w:p w14:paraId="1107124C" w14:textId="6F3A58E4" w:rsidR="005B7B59" w:rsidRDefault="00E91F82" w:rsidP="00E91F82">
      <w:pPr>
        <w:jc w:val="both"/>
        <w:rPr>
          <w:b/>
          <w:iCs/>
          <w:lang w:val="en-US"/>
        </w:rPr>
      </w:pPr>
      <w:r w:rsidRPr="00C444D0">
        <w:rPr>
          <w:b/>
          <w:iCs/>
          <w:lang w:val="en-US"/>
        </w:rPr>
        <w:t>Proposal</w:t>
      </w:r>
      <w:r w:rsidR="00526D7A">
        <w:rPr>
          <w:b/>
          <w:iCs/>
        </w:rPr>
        <w:t xml:space="preserve"> 2</w:t>
      </w:r>
      <w:r w:rsidRPr="00C444D0">
        <w:rPr>
          <w:b/>
          <w:iCs/>
          <w:lang w:val="en-US"/>
        </w:rPr>
        <w:t xml:space="preserve">: </w:t>
      </w:r>
      <w:r w:rsidR="001911DB">
        <w:rPr>
          <w:b/>
          <w:iCs/>
          <w:lang w:val="en-US"/>
        </w:rPr>
        <w:t xml:space="preserve">For inter-UE LBT blocking case: </w:t>
      </w:r>
      <w:r w:rsidR="00310EE7">
        <w:rPr>
          <w:b/>
          <w:iCs/>
          <w:lang w:val="en-US"/>
        </w:rPr>
        <w:t>The PHY provides the trigger for the resource (re)selection</w:t>
      </w:r>
      <w:r w:rsidR="00CD550F">
        <w:rPr>
          <w:b/>
          <w:iCs/>
          <w:lang w:val="en-US"/>
        </w:rPr>
        <w:t>, in</w:t>
      </w:r>
      <w:r w:rsidRPr="00C444D0">
        <w:rPr>
          <w:b/>
          <w:iCs/>
          <w:lang w:val="en-US"/>
        </w:rPr>
        <w:t xml:space="preserve"> case a Type 1 LBT sensing time </w:t>
      </w:r>
      <w:r w:rsidR="00FE406D">
        <w:rPr>
          <w:b/>
          <w:iCs/>
          <w:lang w:val="en-US"/>
        </w:rPr>
        <w:t>is</w:t>
      </w:r>
      <w:r w:rsidRPr="00C444D0">
        <w:rPr>
          <w:b/>
          <w:iCs/>
          <w:lang w:val="en-US"/>
        </w:rPr>
        <w:t xml:space="preserve"> longer than the time until the selected resource.</w:t>
      </w:r>
    </w:p>
    <w:p w14:paraId="58359F56" w14:textId="739B37EE" w:rsidR="00473482" w:rsidRPr="00B93F3D" w:rsidRDefault="004B5F8F" w:rsidP="00473482">
      <w:pPr>
        <w:pStyle w:val="Heading2"/>
      </w:pPr>
      <w:r>
        <w:t>2.2</w:t>
      </w:r>
      <w:r w:rsidR="00473482">
        <w:tab/>
      </w:r>
      <w:r w:rsidR="00473482" w:rsidRPr="003436A8">
        <w:rPr>
          <w:rFonts w:cs="Arial"/>
        </w:rPr>
        <w:t>On LCP enhancements due to COT sharing</w:t>
      </w:r>
    </w:p>
    <w:p w14:paraId="1C2E8627" w14:textId="77777777" w:rsidR="00473482" w:rsidRPr="006D100F" w:rsidRDefault="00473482" w:rsidP="00473482">
      <w:pPr>
        <w:jc w:val="both"/>
      </w:pPr>
      <w:r w:rsidRPr="006D100F">
        <w:t>During the discussions in RAN2#121bis, the chair has identified the following cases to analyse the impact of COT sharing on the LCP procedure:</w:t>
      </w:r>
    </w:p>
    <w:p w14:paraId="3FDD4CD3" w14:textId="77777777" w:rsidR="00473482" w:rsidRPr="006D100F" w:rsidRDefault="00473482" w:rsidP="00473482">
      <w:pPr>
        <w:pStyle w:val="ListParagraph"/>
        <w:numPr>
          <w:ilvl w:val="0"/>
          <w:numId w:val="10"/>
        </w:numPr>
        <w:overflowPunct/>
        <w:autoSpaceDE/>
        <w:autoSpaceDN/>
        <w:adjustRightInd/>
        <w:jc w:val="both"/>
        <w:textAlignment w:val="auto"/>
      </w:pPr>
      <w:r w:rsidRPr="006D100F">
        <w:t>Case 1a - PDU generated before COT arrival, and the PDU does not satisfy COT requirement (either not to the initiating UE, or CAPC value is higher);</w:t>
      </w:r>
    </w:p>
    <w:p w14:paraId="27D91F82" w14:textId="77777777" w:rsidR="00473482" w:rsidRPr="006D100F" w:rsidRDefault="00473482" w:rsidP="00473482">
      <w:pPr>
        <w:pStyle w:val="ListParagraph"/>
        <w:numPr>
          <w:ilvl w:val="0"/>
          <w:numId w:val="10"/>
        </w:numPr>
        <w:overflowPunct/>
        <w:autoSpaceDE/>
        <w:autoSpaceDN/>
        <w:adjustRightInd/>
        <w:jc w:val="both"/>
        <w:textAlignment w:val="auto"/>
      </w:pPr>
      <w:r w:rsidRPr="006D100F">
        <w:t>Case 1b - PDU generated before COT arrival, and PDU does satisfy the COT requirement;</w:t>
      </w:r>
    </w:p>
    <w:p w14:paraId="4F9A846F" w14:textId="77777777" w:rsidR="00473482" w:rsidRPr="006D100F" w:rsidRDefault="00473482" w:rsidP="00473482">
      <w:pPr>
        <w:pStyle w:val="ListParagraph"/>
        <w:numPr>
          <w:ilvl w:val="0"/>
          <w:numId w:val="10"/>
        </w:numPr>
        <w:overflowPunct/>
        <w:autoSpaceDE/>
        <w:autoSpaceDN/>
        <w:adjustRightInd/>
        <w:jc w:val="both"/>
        <w:textAlignment w:val="auto"/>
      </w:pPr>
      <w:r w:rsidRPr="006D100F">
        <w:t>Case 2a - PDU not generated before COT arrival, and no data in RLC buffer satisfying the COT requirement (either no data to the initiating UE, or although there is data to the initiating UE, yet the CAPC value is higher);</w:t>
      </w:r>
    </w:p>
    <w:p w14:paraId="75D777BA" w14:textId="77777777" w:rsidR="00473482" w:rsidRPr="006D100F" w:rsidRDefault="00473482" w:rsidP="00473482">
      <w:pPr>
        <w:pStyle w:val="ListParagraph"/>
        <w:numPr>
          <w:ilvl w:val="0"/>
          <w:numId w:val="10"/>
        </w:numPr>
        <w:overflowPunct/>
        <w:autoSpaceDE/>
        <w:autoSpaceDN/>
        <w:adjustRightInd/>
        <w:jc w:val="both"/>
        <w:textAlignment w:val="auto"/>
      </w:pPr>
      <w:r w:rsidRPr="006D100F">
        <w:t>Case 2b - PDU not generated before COT arrival, and there is data in RLC buffer satisfying the COT requirement.</w:t>
      </w:r>
    </w:p>
    <w:p w14:paraId="26641962" w14:textId="77777777" w:rsidR="00473482" w:rsidRPr="006D100F" w:rsidRDefault="00473482" w:rsidP="00473482">
      <w:pPr>
        <w:jc w:val="both"/>
      </w:pPr>
      <w:r w:rsidRPr="006D100F">
        <w:t>For the case 2b, the following agreement was made in RAN2#121bis:</w:t>
      </w:r>
    </w:p>
    <w:tbl>
      <w:tblPr>
        <w:tblStyle w:val="TableGrid"/>
        <w:tblW w:w="0" w:type="auto"/>
        <w:tblLook w:val="04A0" w:firstRow="1" w:lastRow="0" w:firstColumn="1" w:lastColumn="0" w:noHBand="0" w:noVBand="1"/>
      </w:tblPr>
      <w:tblGrid>
        <w:gridCol w:w="9631"/>
      </w:tblGrid>
      <w:tr w:rsidR="00473482" w14:paraId="0AC2D751" w14:textId="77777777" w:rsidTr="008F7CCE">
        <w:tc>
          <w:tcPr>
            <w:tcW w:w="9631" w:type="dxa"/>
          </w:tcPr>
          <w:p w14:paraId="692E9718" w14:textId="77777777" w:rsidR="00473482" w:rsidRPr="006D100F" w:rsidRDefault="00473482" w:rsidP="008F7CCE">
            <w:pPr>
              <w:jc w:val="both"/>
              <w:rPr>
                <w:rFonts w:ascii="Times New Roman" w:hAnsi="Times New Roman"/>
              </w:rPr>
            </w:pPr>
            <w:r w:rsidRPr="006D100F">
              <w:rPr>
                <w:rFonts w:ascii="Times New Roman" w:hAnsi="Times New Roman"/>
              </w:rPr>
              <w:t>Agreement:</w:t>
            </w:r>
          </w:p>
          <w:p w14:paraId="3B677366" w14:textId="77777777" w:rsidR="00473482" w:rsidRDefault="00473482" w:rsidP="008F7CCE">
            <w:pPr>
              <w:jc w:val="both"/>
              <w:rPr>
                <w:rFonts w:ascii="Arial" w:hAnsi="Arial" w:cs="Arial"/>
              </w:rPr>
            </w:pPr>
            <w:r w:rsidRPr="006D100F">
              <w:rPr>
                <w:rFonts w:ascii="Times New Roman" w:hAnsi="Times New Roman"/>
              </w:rPr>
              <w:lastRenderedPageBreak/>
              <w:t>If the resource to be used is within a shared COT, and if PDU not generated before COT arrival, and there is data in buffer satisfying COT requirement, at least enhanced LCP should be allowed. FFS on the condition for UE to use enhanced LCP. FFS on spec impact.</w:t>
            </w:r>
          </w:p>
        </w:tc>
      </w:tr>
    </w:tbl>
    <w:p w14:paraId="6FCAE7EF" w14:textId="77777777" w:rsidR="00473482" w:rsidRPr="006D100F" w:rsidRDefault="00473482" w:rsidP="00473482">
      <w:pPr>
        <w:spacing w:before="240"/>
        <w:jc w:val="both"/>
      </w:pPr>
      <w:r w:rsidRPr="006D100F">
        <w:lastRenderedPageBreak/>
        <w:t>According with the discussions during RAN2#121bis, the LCP enhancements that compose the enhanced LCP are:</w:t>
      </w:r>
    </w:p>
    <w:p w14:paraId="5630ADCA" w14:textId="77777777" w:rsidR="00473482" w:rsidRPr="006D100F" w:rsidRDefault="00473482" w:rsidP="00473482">
      <w:pPr>
        <w:pStyle w:val="ListParagraph"/>
        <w:numPr>
          <w:ilvl w:val="0"/>
          <w:numId w:val="11"/>
        </w:numPr>
        <w:overflowPunct/>
        <w:autoSpaceDE/>
        <w:autoSpaceDN/>
        <w:adjustRightInd/>
        <w:spacing w:before="240"/>
        <w:jc w:val="both"/>
        <w:textAlignment w:val="auto"/>
      </w:pPr>
      <w:r w:rsidRPr="006D100F">
        <w:t>Enhanced destination selection step to prioritize initiating UE;</w:t>
      </w:r>
    </w:p>
    <w:p w14:paraId="248802DD" w14:textId="77777777" w:rsidR="00473482" w:rsidRPr="006D100F" w:rsidRDefault="00473482" w:rsidP="00473482">
      <w:pPr>
        <w:pStyle w:val="ListParagraph"/>
        <w:numPr>
          <w:ilvl w:val="0"/>
          <w:numId w:val="11"/>
        </w:numPr>
        <w:overflowPunct/>
        <w:autoSpaceDE/>
        <w:autoSpaceDN/>
        <w:adjustRightInd/>
        <w:spacing w:before="240"/>
        <w:jc w:val="both"/>
        <w:textAlignment w:val="auto"/>
      </w:pPr>
      <w:r w:rsidRPr="006D100F">
        <w:t>Enhanced LCH selection step to prioritize LCH associated with the shared COT.</w:t>
      </w:r>
    </w:p>
    <w:p w14:paraId="10E2A205" w14:textId="77777777" w:rsidR="00473482" w:rsidRPr="006D100F" w:rsidRDefault="00473482" w:rsidP="00473482">
      <w:pPr>
        <w:spacing w:before="240"/>
        <w:jc w:val="both"/>
      </w:pPr>
      <w:r w:rsidRPr="006D100F">
        <w:t>We note that even though there is data in buffer satisfying COT requirement, the legacy LCP should still be applied and there should not be any prioritization of logical channels due to the presence of a shared COT. Otherwise, this can be used by a malicious initiating device to impact the traffic prioritization at a responding device and therefore can lead to degradation of other services not related to the shared COT.</w:t>
      </w:r>
    </w:p>
    <w:p w14:paraId="616E431A" w14:textId="77777777" w:rsidR="00473482" w:rsidRPr="006D100F" w:rsidRDefault="00473482" w:rsidP="00473482">
      <w:pPr>
        <w:spacing w:before="240"/>
        <w:jc w:val="both"/>
        <w:rPr>
          <w:b/>
          <w:bCs/>
        </w:rPr>
      </w:pPr>
      <w:r w:rsidRPr="006D100F">
        <w:rPr>
          <w:b/>
          <w:bCs/>
        </w:rPr>
        <w:t>Observation 1: The enhanced LCP can lead to performance degradation of services not related to the shared COT.</w:t>
      </w:r>
    </w:p>
    <w:p w14:paraId="5E111981" w14:textId="4FD0131D" w:rsidR="00473482" w:rsidRPr="006D100F" w:rsidRDefault="00473482" w:rsidP="00473482">
      <w:pPr>
        <w:spacing w:before="240"/>
        <w:jc w:val="both"/>
      </w:pPr>
      <w:r w:rsidRPr="006D100F">
        <w:t xml:space="preserve">However, if a responding UE upon receiving a shared COT applies legacy-LCP, then in case of none of the available PDUs meets the requirement of the shared COT, then (at least to that responding UE) the established COT has been </w:t>
      </w:r>
      <w:r w:rsidR="002E765A">
        <w:t>useless</w:t>
      </w:r>
      <w:r w:rsidRPr="006D100F">
        <w:t>. This is the case since the responding UE may have higher priority data that does not meet the shared COT requirements. Taking unicast as an example, if the higher priority traffic at the responding UE is for UEs other than the COT sharing UE, then the legacy-LCP will prioritize traffic that does not meet the COT requirements and therefore the responding UE will not be able to utilize the shared COT.</w:t>
      </w:r>
    </w:p>
    <w:p w14:paraId="510C5AA1" w14:textId="77777777" w:rsidR="00473482" w:rsidRPr="006D100F" w:rsidRDefault="00473482" w:rsidP="00473482">
      <w:pPr>
        <w:jc w:val="both"/>
        <w:rPr>
          <w:b/>
          <w:bCs/>
        </w:rPr>
      </w:pPr>
      <w:r w:rsidRPr="006D100F">
        <w:rPr>
          <w:b/>
          <w:bCs/>
        </w:rPr>
        <w:t xml:space="preserve">Observation 2: The legacy-LCP can prioritize traffic that does not meet the COT requirements and therefore the responding UE will not be able to utilize the shared COT. </w:t>
      </w:r>
    </w:p>
    <w:p w14:paraId="61FDBA7D" w14:textId="77777777" w:rsidR="00473482" w:rsidRPr="006D100F" w:rsidRDefault="00473482" w:rsidP="00473482">
      <w:pPr>
        <w:jc w:val="both"/>
      </w:pPr>
      <w:r w:rsidRPr="006D100F">
        <w:t>However, if the initiating device is made aware of the characteristics of the traffic available at the responding UE and when this traffic will be available, then the initiating device can use this information to decide when to acquire the COT and share it with the responding UE. Furthermore, the use of a MAC CE for the exchange of this assistance information will be more suitable than RRC based assistance information, since then it be applicable to both unicast and groupcast.</w:t>
      </w:r>
    </w:p>
    <w:p w14:paraId="1B04F07B" w14:textId="77777777" w:rsidR="00671ACB" w:rsidRPr="006D100F" w:rsidRDefault="00671ACB" w:rsidP="00671ACB">
      <w:pPr>
        <w:jc w:val="both"/>
      </w:pPr>
      <w:r w:rsidRPr="006D100F">
        <w:t>The assistance information will be more suitable for periodic traffic than to aperiodic single shot traffic, since for the latter case the overhead related to performing LBT Type 1 will be lower than exchanging the assistance information.</w:t>
      </w:r>
    </w:p>
    <w:p w14:paraId="5FFA3811" w14:textId="7C7A2C41" w:rsidR="00473482" w:rsidRPr="006D100F" w:rsidRDefault="00473482" w:rsidP="00E91F82">
      <w:pPr>
        <w:jc w:val="both"/>
        <w:rPr>
          <w:rFonts w:eastAsiaTheme="minorHAnsi"/>
          <w:iCs/>
          <w:kern w:val="2"/>
          <w:sz w:val="22"/>
          <w:szCs w:val="22"/>
          <w:lang w:eastAsia="ko-KR"/>
          <w14:ligatures w14:val="standardContextual"/>
        </w:rPr>
      </w:pPr>
      <w:r w:rsidRPr="006D100F">
        <w:rPr>
          <w:b/>
          <w:bCs/>
        </w:rPr>
        <w:t>Proposal 3: RAN2 to support MAC CE based transfer of assistance information</w:t>
      </w:r>
      <w:r w:rsidR="00880F37" w:rsidRPr="006D100F">
        <w:rPr>
          <w:b/>
          <w:bCs/>
        </w:rPr>
        <w:t xml:space="preserve"> (</w:t>
      </w:r>
      <w:r w:rsidR="006125C0" w:rsidRPr="006D100F">
        <w:rPr>
          <w:b/>
          <w:bCs/>
        </w:rPr>
        <w:t xml:space="preserve">e.g. </w:t>
      </w:r>
      <w:r w:rsidR="00E2742D" w:rsidRPr="006D100F">
        <w:rPr>
          <w:b/>
          <w:bCs/>
        </w:rPr>
        <w:t xml:space="preserve">traffic </w:t>
      </w:r>
      <w:r w:rsidR="003250D2" w:rsidRPr="006D100F">
        <w:rPr>
          <w:b/>
          <w:bCs/>
        </w:rPr>
        <w:t>pattern</w:t>
      </w:r>
      <w:r w:rsidR="00346791" w:rsidRPr="006D100F">
        <w:rPr>
          <w:b/>
          <w:bCs/>
        </w:rPr>
        <w:t>, remaining PDB</w:t>
      </w:r>
      <w:r w:rsidR="00671ACB" w:rsidRPr="006D100F">
        <w:rPr>
          <w:b/>
          <w:bCs/>
        </w:rPr>
        <w:t>, CAPC</w:t>
      </w:r>
      <w:r w:rsidR="00346791" w:rsidRPr="006D100F">
        <w:rPr>
          <w:b/>
          <w:bCs/>
        </w:rPr>
        <w:t>, etc</w:t>
      </w:r>
      <w:r w:rsidR="00880F37" w:rsidRPr="006D100F">
        <w:rPr>
          <w:b/>
          <w:bCs/>
        </w:rPr>
        <w:t>)</w:t>
      </w:r>
      <w:r w:rsidRPr="006D100F">
        <w:rPr>
          <w:b/>
          <w:bCs/>
        </w:rPr>
        <w:t xml:space="preserve"> from</w:t>
      </w:r>
      <w:r w:rsidR="610B8878" w:rsidRPr="01B8A270">
        <w:rPr>
          <w:b/>
          <w:bCs/>
        </w:rPr>
        <w:t xml:space="preserve"> potential</w:t>
      </w:r>
      <w:r w:rsidRPr="006D100F">
        <w:rPr>
          <w:b/>
          <w:bCs/>
        </w:rPr>
        <w:t xml:space="preserve"> responding UE to initiating UE with the aim of making the shared COT usable by the responding UE.</w:t>
      </w:r>
    </w:p>
    <w:p w14:paraId="69B7B8E6" w14:textId="69E07FC9" w:rsidR="009339CB" w:rsidRPr="006E13D1" w:rsidRDefault="005A13AB" w:rsidP="009339CB">
      <w:pPr>
        <w:pStyle w:val="Heading1"/>
      </w:pPr>
      <w:r>
        <w:t>3</w:t>
      </w:r>
      <w:r w:rsidR="009339CB" w:rsidRPr="006E13D1">
        <w:tab/>
      </w:r>
      <w:r w:rsidR="009339CB">
        <w:t>Conclusion</w:t>
      </w:r>
    </w:p>
    <w:p w14:paraId="6E24B0F4" w14:textId="21ED88AE" w:rsidR="009339CB" w:rsidRPr="006E13D1" w:rsidRDefault="009339CB" w:rsidP="009339CB">
      <w:r>
        <w:t>This document has made the following observations</w:t>
      </w:r>
      <w:r w:rsidR="00EC041C">
        <w:t xml:space="preserve"> and conclusions</w:t>
      </w:r>
      <w:r>
        <w:t>:</w:t>
      </w:r>
    </w:p>
    <w:p w14:paraId="0BDC591F" w14:textId="5A87B42C" w:rsidR="0003114E" w:rsidRPr="00EC7495" w:rsidRDefault="0003114E" w:rsidP="006D100F">
      <w:pPr>
        <w:spacing w:before="240"/>
        <w:jc w:val="both"/>
        <w:rPr>
          <w:b/>
          <w:bCs/>
        </w:rPr>
      </w:pPr>
      <w:r w:rsidRPr="008458C6">
        <w:rPr>
          <w:b/>
          <w:bCs/>
        </w:rPr>
        <w:t>Proposal 1: The intr</w:t>
      </w:r>
      <w:r>
        <w:rPr>
          <w:b/>
          <w:bCs/>
        </w:rPr>
        <w:t>a</w:t>
      </w:r>
      <w:r w:rsidRPr="008458C6">
        <w:rPr>
          <w:b/>
          <w:bCs/>
        </w:rPr>
        <w:t xml:space="preserve">-UE LBT blocking case can be up to UE implementation. </w:t>
      </w:r>
    </w:p>
    <w:p w14:paraId="6371D90B" w14:textId="77777777" w:rsidR="003A764A" w:rsidRPr="006D100F" w:rsidRDefault="003A764A" w:rsidP="006D100F">
      <w:pPr>
        <w:spacing w:before="240"/>
        <w:jc w:val="both"/>
        <w:rPr>
          <w:b/>
          <w:bCs/>
        </w:rPr>
      </w:pPr>
      <w:r w:rsidRPr="006D100F">
        <w:rPr>
          <w:b/>
          <w:bCs/>
        </w:rPr>
        <w:t>Proposal</w:t>
      </w:r>
      <w:r w:rsidRPr="003A764A">
        <w:rPr>
          <w:b/>
          <w:bCs/>
        </w:rPr>
        <w:t xml:space="preserve"> 2</w:t>
      </w:r>
      <w:r w:rsidRPr="006D100F">
        <w:rPr>
          <w:b/>
          <w:bCs/>
        </w:rPr>
        <w:t>: For inter-UE LBT blocking case: The PHY provides the trigger for the resource (re)selection, in case a Type 1 LBT sensing time is longer than the time until the selected resource.</w:t>
      </w:r>
    </w:p>
    <w:p w14:paraId="420F1E0D" w14:textId="77777777" w:rsidR="003A764A" w:rsidRPr="008F7CCE" w:rsidRDefault="003A764A" w:rsidP="003A764A">
      <w:pPr>
        <w:spacing w:before="240"/>
        <w:jc w:val="both"/>
        <w:rPr>
          <w:b/>
          <w:bCs/>
        </w:rPr>
      </w:pPr>
      <w:r w:rsidRPr="008F7CCE">
        <w:rPr>
          <w:b/>
          <w:bCs/>
        </w:rPr>
        <w:t>Observation 1: The enhanced LCP can lead to performance degradation of services not related to the shared COT.</w:t>
      </w:r>
    </w:p>
    <w:p w14:paraId="11118746" w14:textId="77777777" w:rsidR="006D100F" w:rsidRPr="006D100F" w:rsidRDefault="006D100F" w:rsidP="006D100F">
      <w:pPr>
        <w:jc w:val="both"/>
        <w:rPr>
          <w:b/>
          <w:bCs/>
        </w:rPr>
      </w:pPr>
      <w:r w:rsidRPr="006D100F">
        <w:rPr>
          <w:b/>
          <w:bCs/>
        </w:rPr>
        <w:t xml:space="preserve">Observation 2: The legacy-LCP can prioritize traffic that does not meet the COT requirements and therefore the responding UE will not be able to utilize the shared COT. </w:t>
      </w:r>
    </w:p>
    <w:p w14:paraId="3EE7C935" w14:textId="4497BB3C" w:rsidR="003A764A" w:rsidRPr="006D100F" w:rsidRDefault="006D100F" w:rsidP="006D100F">
      <w:pPr>
        <w:spacing w:before="240"/>
        <w:jc w:val="both"/>
        <w:rPr>
          <w:b/>
          <w:bCs/>
        </w:rPr>
      </w:pPr>
      <w:r w:rsidRPr="006D100F">
        <w:rPr>
          <w:b/>
          <w:bCs/>
        </w:rPr>
        <w:t>Proposal 3: RAN2 to support MAC CE based transfer of assistance information (e.g. traffic pattern, remaining PDB, CAPC, etc) from</w:t>
      </w:r>
      <w:r w:rsidRPr="01B8A270">
        <w:rPr>
          <w:b/>
          <w:bCs/>
        </w:rPr>
        <w:t xml:space="preserve"> potential</w:t>
      </w:r>
      <w:r w:rsidRPr="006D100F">
        <w:rPr>
          <w:b/>
          <w:bCs/>
        </w:rPr>
        <w:t xml:space="preserve"> responding UE to initiating UE with the aim of making the shared COT usable by the responding UE</w:t>
      </w:r>
      <w:r w:rsidR="003A764A" w:rsidRPr="008F7CCE">
        <w:rPr>
          <w:b/>
          <w:bCs/>
        </w:rPr>
        <w:t>.</w:t>
      </w:r>
    </w:p>
    <w:p w14:paraId="35F222F4" w14:textId="77777777" w:rsidR="00080512" w:rsidRPr="00A209D6" w:rsidRDefault="00080512" w:rsidP="009339CB"/>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92C2E8" w14:textId="77777777" w:rsidR="00CA7ABC" w:rsidRDefault="00CA7ABC">
      <w:r>
        <w:separator/>
      </w:r>
    </w:p>
  </w:endnote>
  <w:endnote w:type="continuationSeparator" w:id="0">
    <w:p w14:paraId="10CD9FE1" w14:textId="77777777" w:rsidR="00CA7ABC" w:rsidRDefault="00CA7ABC">
      <w:r>
        <w:continuationSeparator/>
      </w:r>
    </w:p>
  </w:endnote>
  <w:endnote w:type="continuationNotice" w:id="1">
    <w:p w14:paraId="0001E1A6" w14:textId="77777777" w:rsidR="00CA7ABC" w:rsidRDefault="00CA7A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roman"/>
    <w:pitch w:val="fixed"/>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modern"/>
    <w:pitch w:val="fixed"/>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55E23" w14:textId="77777777" w:rsidR="00CA7ABC" w:rsidRDefault="00CA7ABC">
      <w:r>
        <w:separator/>
      </w:r>
    </w:p>
  </w:footnote>
  <w:footnote w:type="continuationSeparator" w:id="0">
    <w:p w14:paraId="58853BD2" w14:textId="77777777" w:rsidR="00CA7ABC" w:rsidRDefault="00CA7ABC">
      <w:r>
        <w:continuationSeparator/>
      </w:r>
    </w:p>
  </w:footnote>
  <w:footnote w:type="continuationNotice" w:id="1">
    <w:p w14:paraId="73B23BEE" w14:textId="77777777" w:rsidR="00CA7ABC" w:rsidRDefault="00CA7A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5F6BA3"/>
    <w:multiLevelType w:val="hybridMultilevel"/>
    <w:tmpl w:val="3B8E2690"/>
    <w:lvl w:ilvl="0" w:tplc="7B96A632">
      <w:numFmt w:val="bullet"/>
      <w:lvlText w:val="-"/>
      <w:lvlJc w:val="left"/>
      <w:pPr>
        <w:ind w:left="420" w:hanging="360"/>
      </w:pPr>
      <w:rPr>
        <w:rFonts w:ascii="Arial" w:eastAsia="Gulim"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hint="default"/>
      </w:rPr>
    </w:lvl>
    <w:lvl w:ilvl="6" w:tplc="04090001">
      <w:start w:val="1"/>
      <w:numFmt w:val="bullet"/>
      <w:lvlText w:val=""/>
      <w:lvlJc w:val="left"/>
      <w:pPr>
        <w:ind w:left="4740" w:hanging="360"/>
      </w:pPr>
      <w:rPr>
        <w:rFonts w:ascii="Symbol" w:hAnsi="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hint="default"/>
      </w:rPr>
    </w:lvl>
  </w:abstractNum>
  <w:abstractNum w:abstractNumId="4" w15:restartNumberingAfterBreak="0">
    <w:nsid w:val="1A4B6950"/>
    <w:multiLevelType w:val="multilevel"/>
    <w:tmpl w:val="C2585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5B2704B"/>
    <w:multiLevelType w:val="hybridMultilevel"/>
    <w:tmpl w:val="8D846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9F13374"/>
    <w:multiLevelType w:val="hybridMultilevel"/>
    <w:tmpl w:val="31C6D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6"/>
  </w:num>
  <w:num w:numId="6" w16cid:durableId="1154301696">
    <w:abstractNumId w:val="10"/>
  </w:num>
  <w:num w:numId="7" w16cid:durableId="1489399165">
    <w:abstractNumId w:val="11"/>
  </w:num>
  <w:num w:numId="8" w16cid:durableId="227542766">
    <w:abstractNumId w:val="8"/>
  </w:num>
  <w:num w:numId="9" w16cid:durableId="1530753330">
    <w:abstractNumId w:val="3"/>
  </w:num>
  <w:num w:numId="10" w16cid:durableId="514542136">
    <w:abstractNumId w:val="9"/>
  </w:num>
  <w:num w:numId="11" w16cid:durableId="22100451">
    <w:abstractNumId w:val="12"/>
  </w:num>
  <w:num w:numId="12" w16cid:durableId="1894149301">
    <w:abstractNumId w:val="4"/>
  </w:num>
  <w:num w:numId="13" w16cid:durableId="176431402">
    <w:abstractNumId w:val="2"/>
  </w:num>
  <w:num w:numId="14" w16cid:durableId="18963578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114E"/>
    <w:rsid w:val="00033397"/>
    <w:rsid w:val="00040095"/>
    <w:rsid w:val="00057FC4"/>
    <w:rsid w:val="00065268"/>
    <w:rsid w:val="000664E9"/>
    <w:rsid w:val="00072560"/>
    <w:rsid w:val="00073C9C"/>
    <w:rsid w:val="00076412"/>
    <w:rsid w:val="00080512"/>
    <w:rsid w:val="00085EC3"/>
    <w:rsid w:val="00090468"/>
    <w:rsid w:val="00094568"/>
    <w:rsid w:val="000B7BCF"/>
    <w:rsid w:val="000C04D3"/>
    <w:rsid w:val="000C522B"/>
    <w:rsid w:val="000C7C0B"/>
    <w:rsid w:val="000D58AB"/>
    <w:rsid w:val="001110D3"/>
    <w:rsid w:val="00112F1A"/>
    <w:rsid w:val="00121E52"/>
    <w:rsid w:val="00145075"/>
    <w:rsid w:val="001502F8"/>
    <w:rsid w:val="00166760"/>
    <w:rsid w:val="001720EC"/>
    <w:rsid w:val="001741A0"/>
    <w:rsid w:val="00175FA0"/>
    <w:rsid w:val="00180A51"/>
    <w:rsid w:val="0018542A"/>
    <w:rsid w:val="001911DB"/>
    <w:rsid w:val="00194638"/>
    <w:rsid w:val="00194CD0"/>
    <w:rsid w:val="001B49C9"/>
    <w:rsid w:val="001C23F4"/>
    <w:rsid w:val="001C4F79"/>
    <w:rsid w:val="001D1544"/>
    <w:rsid w:val="001E018C"/>
    <w:rsid w:val="001F168B"/>
    <w:rsid w:val="001F31A3"/>
    <w:rsid w:val="001F7831"/>
    <w:rsid w:val="00204045"/>
    <w:rsid w:val="0020712B"/>
    <w:rsid w:val="0022606D"/>
    <w:rsid w:val="00231728"/>
    <w:rsid w:val="0024401D"/>
    <w:rsid w:val="00244A05"/>
    <w:rsid w:val="00250404"/>
    <w:rsid w:val="00251647"/>
    <w:rsid w:val="00256B74"/>
    <w:rsid w:val="002610D8"/>
    <w:rsid w:val="002747EC"/>
    <w:rsid w:val="002855BF"/>
    <w:rsid w:val="002956AD"/>
    <w:rsid w:val="002B2988"/>
    <w:rsid w:val="002E0056"/>
    <w:rsid w:val="002E765A"/>
    <w:rsid w:val="002F0D22"/>
    <w:rsid w:val="00310EE7"/>
    <w:rsid w:val="00311B17"/>
    <w:rsid w:val="003172DC"/>
    <w:rsid w:val="00320C9B"/>
    <w:rsid w:val="00323CD6"/>
    <w:rsid w:val="003250D2"/>
    <w:rsid w:val="00325AE3"/>
    <w:rsid w:val="00326069"/>
    <w:rsid w:val="003267FB"/>
    <w:rsid w:val="00343A54"/>
    <w:rsid w:val="00346791"/>
    <w:rsid w:val="0035462D"/>
    <w:rsid w:val="00362F47"/>
    <w:rsid w:val="003642F6"/>
    <w:rsid w:val="0036459E"/>
    <w:rsid w:val="00364B41"/>
    <w:rsid w:val="00365E20"/>
    <w:rsid w:val="00383096"/>
    <w:rsid w:val="0039205E"/>
    <w:rsid w:val="0039346C"/>
    <w:rsid w:val="003A41EF"/>
    <w:rsid w:val="003A764A"/>
    <w:rsid w:val="003B40AD"/>
    <w:rsid w:val="003C4E37"/>
    <w:rsid w:val="003D0FD0"/>
    <w:rsid w:val="003E16BE"/>
    <w:rsid w:val="003E206E"/>
    <w:rsid w:val="003F4545"/>
    <w:rsid w:val="003F4E28"/>
    <w:rsid w:val="004006E8"/>
    <w:rsid w:val="00401855"/>
    <w:rsid w:val="00427F26"/>
    <w:rsid w:val="00446C3A"/>
    <w:rsid w:val="00457A5F"/>
    <w:rsid w:val="0046371B"/>
    <w:rsid w:val="00465587"/>
    <w:rsid w:val="00473482"/>
    <w:rsid w:val="00477455"/>
    <w:rsid w:val="00482F0B"/>
    <w:rsid w:val="004914C2"/>
    <w:rsid w:val="004A1F7B"/>
    <w:rsid w:val="004B5F8F"/>
    <w:rsid w:val="004C44D2"/>
    <w:rsid w:val="004D3578"/>
    <w:rsid w:val="004D380D"/>
    <w:rsid w:val="004E213A"/>
    <w:rsid w:val="004F4540"/>
    <w:rsid w:val="004F73A7"/>
    <w:rsid w:val="00503171"/>
    <w:rsid w:val="00504CCE"/>
    <w:rsid w:val="00506C28"/>
    <w:rsid w:val="00526D7A"/>
    <w:rsid w:val="00534DA0"/>
    <w:rsid w:val="00537809"/>
    <w:rsid w:val="00543E6C"/>
    <w:rsid w:val="00565087"/>
    <w:rsid w:val="0056573F"/>
    <w:rsid w:val="0057106B"/>
    <w:rsid w:val="00571279"/>
    <w:rsid w:val="005A13AB"/>
    <w:rsid w:val="005A49C6"/>
    <w:rsid w:val="005B7B59"/>
    <w:rsid w:val="005C766E"/>
    <w:rsid w:val="005C7CD5"/>
    <w:rsid w:val="005D1F1C"/>
    <w:rsid w:val="005E27E6"/>
    <w:rsid w:val="00602B2A"/>
    <w:rsid w:val="006072BA"/>
    <w:rsid w:val="00611566"/>
    <w:rsid w:val="006125C0"/>
    <w:rsid w:val="006162F5"/>
    <w:rsid w:val="0062597D"/>
    <w:rsid w:val="00626792"/>
    <w:rsid w:val="00646D99"/>
    <w:rsid w:val="00656910"/>
    <w:rsid w:val="006574C0"/>
    <w:rsid w:val="006710CA"/>
    <w:rsid w:val="0067143C"/>
    <w:rsid w:val="00671ACB"/>
    <w:rsid w:val="0067359A"/>
    <w:rsid w:val="00676860"/>
    <w:rsid w:val="00677F64"/>
    <w:rsid w:val="006963B3"/>
    <w:rsid w:val="00696821"/>
    <w:rsid w:val="006C0282"/>
    <w:rsid w:val="006C66D8"/>
    <w:rsid w:val="006D100F"/>
    <w:rsid w:val="006D1E24"/>
    <w:rsid w:val="006D35DE"/>
    <w:rsid w:val="006E1057"/>
    <w:rsid w:val="006E1417"/>
    <w:rsid w:val="006F6A2C"/>
    <w:rsid w:val="0070555B"/>
    <w:rsid w:val="00705DC0"/>
    <w:rsid w:val="0070662C"/>
    <w:rsid w:val="007069DC"/>
    <w:rsid w:val="00710201"/>
    <w:rsid w:val="007141FC"/>
    <w:rsid w:val="0072073A"/>
    <w:rsid w:val="007342B5"/>
    <w:rsid w:val="00734A5B"/>
    <w:rsid w:val="00744E76"/>
    <w:rsid w:val="00757D40"/>
    <w:rsid w:val="007662B5"/>
    <w:rsid w:val="00771FFA"/>
    <w:rsid w:val="00781F0F"/>
    <w:rsid w:val="0078727C"/>
    <w:rsid w:val="0079049D"/>
    <w:rsid w:val="00793DC5"/>
    <w:rsid w:val="00796823"/>
    <w:rsid w:val="007A2E55"/>
    <w:rsid w:val="007B18D8"/>
    <w:rsid w:val="007C095F"/>
    <w:rsid w:val="007C2DD0"/>
    <w:rsid w:val="007C4A1E"/>
    <w:rsid w:val="007F2E08"/>
    <w:rsid w:val="007F70D5"/>
    <w:rsid w:val="007F7651"/>
    <w:rsid w:val="008024FA"/>
    <w:rsid w:val="008028A4"/>
    <w:rsid w:val="00813245"/>
    <w:rsid w:val="008166F0"/>
    <w:rsid w:val="00840DE0"/>
    <w:rsid w:val="008458C6"/>
    <w:rsid w:val="00847CD0"/>
    <w:rsid w:val="008601AF"/>
    <w:rsid w:val="008607A8"/>
    <w:rsid w:val="0086354A"/>
    <w:rsid w:val="0086776B"/>
    <w:rsid w:val="008768CA"/>
    <w:rsid w:val="00877CF6"/>
    <w:rsid w:val="00877EF9"/>
    <w:rsid w:val="00880559"/>
    <w:rsid w:val="00880F37"/>
    <w:rsid w:val="008A747C"/>
    <w:rsid w:val="008B5306"/>
    <w:rsid w:val="008B54E8"/>
    <w:rsid w:val="008C2E2A"/>
    <w:rsid w:val="008C3057"/>
    <w:rsid w:val="008C6AAA"/>
    <w:rsid w:val="008D2E4D"/>
    <w:rsid w:val="008F396F"/>
    <w:rsid w:val="008F3DCD"/>
    <w:rsid w:val="0090271F"/>
    <w:rsid w:val="00902DB9"/>
    <w:rsid w:val="0090466A"/>
    <w:rsid w:val="00905E5A"/>
    <w:rsid w:val="00915173"/>
    <w:rsid w:val="00916410"/>
    <w:rsid w:val="00923655"/>
    <w:rsid w:val="009248C6"/>
    <w:rsid w:val="0093284C"/>
    <w:rsid w:val="009339CB"/>
    <w:rsid w:val="00936071"/>
    <w:rsid w:val="009376CD"/>
    <w:rsid w:val="00940212"/>
    <w:rsid w:val="00942EC2"/>
    <w:rsid w:val="00961B32"/>
    <w:rsid w:val="00962509"/>
    <w:rsid w:val="00966125"/>
    <w:rsid w:val="00970DB3"/>
    <w:rsid w:val="00971C5D"/>
    <w:rsid w:val="00974BB0"/>
    <w:rsid w:val="00975BCD"/>
    <w:rsid w:val="009818A2"/>
    <w:rsid w:val="00986810"/>
    <w:rsid w:val="0099075A"/>
    <w:rsid w:val="009928A9"/>
    <w:rsid w:val="009A0AF3"/>
    <w:rsid w:val="009A3207"/>
    <w:rsid w:val="009A39AA"/>
    <w:rsid w:val="009A3A18"/>
    <w:rsid w:val="009B07CD"/>
    <w:rsid w:val="009C19E9"/>
    <w:rsid w:val="009D74A6"/>
    <w:rsid w:val="009E0E87"/>
    <w:rsid w:val="009E1C57"/>
    <w:rsid w:val="00A10F02"/>
    <w:rsid w:val="00A17176"/>
    <w:rsid w:val="00A204CA"/>
    <w:rsid w:val="00A209D6"/>
    <w:rsid w:val="00A22738"/>
    <w:rsid w:val="00A23B61"/>
    <w:rsid w:val="00A3353B"/>
    <w:rsid w:val="00A36F5F"/>
    <w:rsid w:val="00A430EC"/>
    <w:rsid w:val="00A53724"/>
    <w:rsid w:val="00A54B2B"/>
    <w:rsid w:val="00A55841"/>
    <w:rsid w:val="00A56338"/>
    <w:rsid w:val="00A703B6"/>
    <w:rsid w:val="00A82346"/>
    <w:rsid w:val="00A838A0"/>
    <w:rsid w:val="00A9671C"/>
    <w:rsid w:val="00AA1553"/>
    <w:rsid w:val="00AA335B"/>
    <w:rsid w:val="00B05380"/>
    <w:rsid w:val="00B05962"/>
    <w:rsid w:val="00B15449"/>
    <w:rsid w:val="00B16079"/>
    <w:rsid w:val="00B16C2F"/>
    <w:rsid w:val="00B27303"/>
    <w:rsid w:val="00B47FD1"/>
    <w:rsid w:val="00B516BB"/>
    <w:rsid w:val="00B659BB"/>
    <w:rsid w:val="00B7538C"/>
    <w:rsid w:val="00B84DB2"/>
    <w:rsid w:val="00BA1F95"/>
    <w:rsid w:val="00BB4E02"/>
    <w:rsid w:val="00BC2863"/>
    <w:rsid w:val="00BC3555"/>
    <w:rsid w:val="00BC5976"/>
    <w:rsid w:val="00BF01B5"/>
    <w:rsid w:val="00C10BB5"/>
    <w:rsid w:val="00C12B51"/>
    <w:rsid w:val="00C24650"/>
    <w:rsid w:val="00C25465"/>
    <w:rsid w:val="00C33079"/>
    <w:rsid w:val="00C444D0"/>
    <w:rsid w:val="00C55A12"/>
    <w:rsid w:val="00C6553E"/>
    <w:rsid w:val="00C72B26"/>
    <w:rsid w:val="00C83A13"/>
    <w:rsid w:val="00C85E28"/>
    <w:rsid w:val="00C86F10"/>
    <w:rsid w:val="00C9068C"/>
    <w:rsid w:val="00C92967"/>
    <w:rsid w:val="00C96EDA"/>
    <w:rsid w:val="00CA3D0C"/>
    <w:rsid w:val="00CA654B"/>
    <w:rsid w:val="00CA7ABC"/>
    <w:rsid w:val="00CB72B8"/>
    <w:rsid w:val="00CC0260"/>
    <w:rsid w:val="00CD0BA8"/>
    <w:rsid w:val="00CD4AA0"/>
    <w:rsid w:val="00CD4C7B"/>
    <w:rsid w:val="00CD550F"/>
    <w:rsid w:val="00CD58FE"/>
    <w:rsid w:val="00D125C4"/>
    <w:rsid w:val="00D33BE3"/>
    <w:rsid w:val="00D3792D"/>
    <w:rsid w:val="00D54820"/>
    <w:rsid w:val="00D55E47"/>
    <w:rsid w:val="00D57489"/>
    <w:rsid w:val="00D62E19"/>
    <w:rsid w:val="00D6400D"/>
    <w:rsid w:val="00D67CD1"/>
    <w:rsid w:val="00D738D6"/>
    <w:rsid w:val="00D80795"/>
    <w:rsid w:val="00D81699"/>
    <w:rsid w:val="00D854BE"/>
    <w:rsid w:val="00D87E00"/>
    <w:rsid w:val="00D9134D"/>
    <w:rsid w:val="00D92822"/>
    <w:rsid w:val="00D96D11"/>
    <w:rsid w:val="00DA7A03"/>
    <w:rsid w:val="00DA7FAA"/>
    <w:rsid w:val="00DB0DB8"/>
    <w:rsid w:val="00DB1818"/>
    <w:rsid w:val="00DC309B"/>
    <w:rsid w:val="00DC4DA2"/>
    <w:rsid w:val="00DC5261"/>
    <w:rsid w:val="00DD7641"/>
    <w:rsid w:val="00DE25D2"/>
    <w:rsid w:val="00DF7C20"/>
    <w:rsid w:val="00E038FB"/>
    <w:rsid w:val="00E17AC3"/>
    <w:rsid w:val="00E26D52"/>
    <w:rsid w:val="00E2742D"/>
    <w:rsid w:val="00E46C08"/>
    <w:rsid w:val="00E471CF"/>
    <w:rsid w:val="00E47575"/>
    <w:rsid w:val="00E62835"/>
    <w:rsid w:val="00E6480E"/>
    <w:rsid w:val="00E76BC1"/>
    <w:rsid w:val="00E77645"/>
    <w:rsid w:val="00E83697"/>
    <w:rsid w:val="00E859B6"/>
    <w:rsid w:val="00E8712C"/>
    <w:rsid w:val="00E91F82"/>
    <w:rsid w:val="00EA66C9"/>
    <w:rsid w:val="00EB2784"/>
    <w:rsid w:val="00EB3820"/>
    <w:rsid w:val="00EB5D32"/>
    <w:rsid w:val="00EC041C"/>
    <w:rsid w:val="00EC4A25"/>
    <w:rsid w:val="00EC7495"/>
    <w:rsid w:val="00EF612C"/>
    <w:rsid w:val="00F025A2"/>
    <w:rsid w:val="00F036E9"/>
    <w:rsid w:val="00F04DDF"/>
    <w:rsid w:val="00F07388"/>
    <w:rsid w:val="00F16C3D"/>
    <w:rsid w:val="00F2026E"/>
    <w:rsid w:val="00F2210A"/>
    <w:rsid w:val="00F31372"/>
    <w:rsid w:val="00F37743"/>
    <w:rsid w:val="00F54A3D"/>
    <w:rsid w:val="00F54CB0"/>
    <w:rsid w:val="00F579CD"/>
    <w:rsid w:val="00F64FD3"/>
    <w:rsid w:val="00F653B8"/>
    <w:rsid w:val="00F654A4"/>
    <w:rsid w:val="00F71835"/>
    <w:rsid w:val="00F71B89"/>
    <w:rsid w:val="00F71C56"/>
    <w:rsid w:val="00F7353C"/>
    <w:rsid w:val="00F76F8F"/>
    <w:rsid w:val="00F87257"/>
    <w:rsid w:val="00F941DF"/>
    <w:rsid w:val="00FA1266"/>
    <w:rsid w:val="00FA7B3C"/>
    <w:rsid w:val="00FB36FA"/>
    <w:rsid w:val="00FC1192"/>
    <w:rsid w:val="00FC50A9"/>
    <w:rsid w:val="00FE106D"/>
    <w:rsid w:val="00FE251B"/>
    <w:rsid w:val="00FE406D"/>
    <w:rsid w:val="01B8A270"/>
    <w:rsid w:val="06C0D236"/>
    <w:rsid w:val="1B7BAA03"/>
    <w:rsid w:val="1FABD973"/>
    <w:rsid w:val="221E4261"/>
    <w:rsid w:val="249CB0A3"/>
    <w:rsid w:val="2B2C4C38"/>
    <w:rsid w:val="2EE32694"/>
    <w:rsid w:val="316636BC"/>
    <w:rsid w:val="361DF274"/>
    <w:rsid w:val="3DDD79CE"/>
    <w:rsid w:val="3FBFEA53"/>
    <w:rsid w:val="4088AE17"/>
    <w:rsid w:val="505E9217"/>
    <w:rsid w:val="51EA7726"/>
    <w:rsid w:val="59176B9D"/>
    <w:rsid w:val="5EC9CFB4"/>
    <w:rsid w:val="610B8878"/>
    <w:rsid w:val="61B735DA"/>
    <w:rsid w:val="649E8903"/>
    <w:rsid w:val="6761C3EF"/>
    <w:rsid w:val="78E7D8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1E5930C-A699-4826-8C8B-6BAB2AE5B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3A764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2Char">
    <w:name w:val="Heading 2 Char"/>
    <w:basedOn w:val="DefaultParagraphFont"/>
    <w:link w:val="Heading2"/>
    <w:rsid w:val="009E1C57"/>
    <w:rPr>
      <w:rFonts w:ascii="Arial" w:hAnsi="Arial"/>
      <w:sz w:val="32"/>
      <w:lang w:eastAsia="en-US"/>
    </w:rPr>
  </w:style>
  <w:style w:type="table" w:styleId="TableGrid">
    <w:name w:val="Table Grid"/>
    <w:aliases w:val="TableGrid"/>
    <w:basedOn w:val="TableNormal"/>
    <w:uiPriority w:val="59"/>
    <w:qFormat/>
    <w:rsid w:val="009E1C57"/>
    <w:rPr>
      <w:rFonts w:ascii="CG Times (WN)" w:eastAsia="SimSun" w:hAnsi="CG Times (W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9E1C57"/>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9E1C57"/>
    <w:rPr>
      <w:rFonts w:eastAsia="SimSun"/>
      <w:lang w:eastAsia="en-US"/>
    </w:rPr>
  </w:style>
  <w:style w:type="paragraph" w:styleId="Caption">
    <w:name w:val="caption"/>
    <w:aliases w:val="cap,cap Char,Caption Char,Caption Char1 Char,cap Char Char1,Caption Char Char1 Char,cap Char2,题注,条目,Caption Char2,Caption Char Char Char,Caption Char Char1,fig and tbl,fighead2,Table Caption,fighead21,fighead22,fighead23,Table Caption1"/>
    <w:basedOn w:val="Normal"/>
    <w:next w:val="Normal"/>
    <w:link w:val="CaptionChar1"/>
    <w:uiPriority w:val="35"/>
    <w:qFormat/>
    <w:rsid w:val="009E1C57"/>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Char2 Char,Caption Char Char Char Char,Caption Char Char1 Char1,fig and tbl Char"/>
    <w:link w:val="Caption"/>
    <w:uiPriority w:val="35"/>
    <w:rsid w:val="009E1C57"/>
    <w:rPr>
      <w:rFonts w:eastAsia="SimSun"/>
      <w:b/>
      <w:lang w:val="x-none" w:eastAsia="x-none"/>
    </w:rPr>
  </w:style>
  <w:style w:type="character" w:styleId="CommentReference">
    <w:name w:val="annotation reference"/>
    <w:basedOn w:val="DefaultParagraphFont"/>
    <w:uiPriority w:val="99"/>
    <w:qFormat/>
    <w:rsid w:val="00166760"/>
    <w:rPr>
      <w:sz w:val="16"/>
      <w:szCs w:val="16"/>
    </w:rPr>
  </w:style>
  <w:style w:type="paragraph" w:styleId="CommentText">
    <w:name w:val="annotation text"/>
    <w:basedOn w:val="Normal"/>
    <w:link w:val="CommentTextChar"/>
    <w:qFormat/>
    <w:rsid w:val="00166760"/>
  </w:style>
  <w:style w:type="character" w:customStyle="1" w:styleId="CommentTextChar">
    <w:name w:val="Comment Text Char"/>
    <w:basedOn w:val="DefaultParagraphFont"/>
    <w:link w:val="CommentText"/>
    <w:qFormat/>
    <w:rsid w:val="00166760"/>
    <w:rPr>
      <w:lang w:eastAsia="en-US"/>
    </w:rPr>
  </w:style>
  <w:style w:type="paragraph" w:styleId="CommentSubject">
    <w:name w:val="annotation subject"/>
    <w:basedOn w:val="CommentText"/>
    <w:next w:val="CommentText"/>
    <w:link w:val="CommentSubjectChar"/>
    <w:rsid w:val="00166760"/>
    <w:rPr>
      <w:b/>
      <w:bCs/>
    </w:rPr>
  </w:style>
  <w:style w:type="character" w:customStyle="1" w:styleId="CommentSubjectChar">
    <w:name w:val="Comment Subject Char"/>
    <w:basedOn w:val="CommentTextChar"/>
    <w:link w:val="CommentSubject"/>
    <w:rsid w:val="00166760"/>
    <w:rPr>
      <w:b/>
      <w:bCs/>
      <w:lang w:eastAsia="en-US"/>
    </w:rPr>
  </w:style>
  <w:style w:type="character" w:customStyle="1" w:styleId="NOChar">
    <w:name w:val="NO Char"/>
    <w:link w:val="NO"/>
    <w:qFormat/>
    <w:locked/>
    <w:rsid w:val="0070662C"/>
    <w:rPr>
      <w:lang w:eastAsia="en-US"/>
    </w:rPr>
  </w:style>
  <w:style w:type="paragraph" w:styleId="Revision">
    <w:name w:val="Revision"/>
    <w:hidden/>
    <w:uiPriority w:val="99"/>
    <w:semiHidden/>
    <w:rsid w:val="00C444D0"/>
    <w:rPr>
      <w:lang w:eastAsia="en-US"/>
    </w:rPr>
  </w:style>
  <w:style w:type="character" w:styleId="Mention">
    <w:name w:val="Mention"/>
    <w:basedOn w:val="DefaultParagraphFont"/>
    <w:uiPriority w:val="99"/>
    <w:unhideWhenUsed/>
    <w:rsid w:val="00C444D0"/>
    <w:rPr>
      <w:color w:val="2B579A"/>
      <w:shd w:val="clear" w:color="auto" w:fill="E1DFDD"/>
    </w:rPr>
  </w:style>
  <w:style w:type="paragraph" w:styleId="NormalWeb">
    <w:name w:val="Normal (Web)"/>
    <w:basedOn w:val="Normal"/>
    <w:uiPriority w:val="99"/>
    <w:unhideWhenUsed/>
    <w:rsid w:val="000C04D3"/>
    <w:pPr>
      <w:spacing w:before="100" w:beforeAutospacing="1" w:after="100" w:afterAutospacing="1"/>
    </w:pPr>
    <w:rPr>
      <w:sz w:val="24"/>
      <w:szCs w:val="24"/>
      <w:lang w:val="en-US"/>
    </w:rPr>
  </w:style>
  <w:style w:type="character" w:styleId="Strong">
    <w:name w:val="Strong"/>
    <w:basedOn w:val="DefaultParagraphFont"/>
    <w:uiPriority w:val="22"/>
    <w:qFormat/>
    <w:rsid w:val="000C04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68268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3268201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72931685">
      <w:bodyDiv w:val="1"/>
      <w:marLeft w:val="0"/>
      <w:marRight w:val="0"/>
      <w:marTop w:val="0"/>
      <w:marBottom w:val="0"/>
      <w:divBdr>
        <w:top w:val="none" w:sz="0" w:space="0" w:color="auto"/>
        <w:left w:val="none" w:sz="0" w:space="0" w:color="auto"/>
        <w:bottom w:val="none" w:sz="0" w:space="0" w:color="auto"/>
        <w:right w:val="none" w:sz="0" w:space="0" w:color="auto"/>
      </w:divBdr>
    </w:div>
    <w:div w:id="1700423617">
      <w:bodyDiv w:val="1"/>
      <w:marLeft w:val="0"/>
      <w:marRight w:val="0"/>
      <w:marTop w:val="0"/>
      <w:marBottom w:val="0"/>
      <w:divBdr>
        <w:top w:val="none" w:sz="0" w:space="0" w:color="auto"/>
        <w:left w:val="none" w:sz="0" w:space="0" w:color="auto"/>
        <w:bottom w:val="none" w:sz="0" w:space="0" w:color="auto"/>
        <w:right w:val="none" w:sz="0" w:space="0" w:color="auto"/>
      </w:divBdr>
    </w:div>
    <w:div w:id="201904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21/Docs/R2-2301905.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5AIRPNAIUNRU-859666464-14564</_dlc_DocId>
    <_dlc_DocIdUrl xmlns="71c5aaf6-e6ce-465b-b873-5148d2a4c105">
      <Url>https://nokia.sharepoint.com/sites/c5g/e2earch/_layouts/15/DocIdRedir.aspx?ID=5AIRPNAIUNRU-859666464-14564</Url>
      <Description>5AIRPNAIUNRU-859666464-14564</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1561</Words>
  <Characters>8902</Characters>
  <Application>Microsoft Office Word</Application>
  <DocSecurity>0</DocSecurity>
  <Lines>74</Lines>
  <Paragraphs>20</Paragraphs>
  <ScaleCrop>false</ScaleCrop>
  <Manager/>
  <Company>Nokia</Company>
  <LinksUpToDate>false</LinksUpToDate>
  <CharactersWithSpaces>10443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233</cp:revision>
  <dcterms:created xsi:type="dcterms:W3CDTF">2016-08-12T22:53:00Z</dcterms:created>
  <dcterms:modified xsi:type="dcterms:W3CDTF">2023-08-10T18:10:00Z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deabe733-a753-4b8c-adeb-090ce174c475</vt:lpwstr>
  </property>
  <property fmtid="{D5CDD505-2E9C-101B-9397-08002B2CF9AE}" pid="4" name="MediaServiceImageTags">
    <vt:lpwstr/>
  </property>
</Properties>
</file>